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附1</w:t>
      </w: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after="624" w:afterLines="200" w:line="360" w:lineRule="auto"/>
        <w:jc w:val="center"/>
        <w:outlineLvl w:val="0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新能源汽车废旧动力蓄电池综合利用</w:t>
      </w:r>
      <w:r>
        <w:rPr>
          <w:rFonts w:hint="eastAsia" w:ascii="宋体" w:hAnsi="宋体"/>
          <w:b/>
          <w:sz w:val="36"/>
          <w:szCs w:val="44"/>
        </w:rPr>
        <w:br w:type="textWrapping"/>
      </w:r>
      <w:r>
        <w:rPr>
          <w:rFonts w:hint="eastAsia" w:ascii="宋体" w:hAnsi="宋体"/>
          <w:b/>
          <w:sz w:val="36"/>
          <w:szCs w:val="44"/>
        </w:rPr>
        <w:t>行业规范公告申请书</w:t>
      </w:r>
    </w:p>
    <w:p>
      <w:pPr>
        <w:spacing w:before="156" w:beforeLines="50" w:after="624" w:afterLines="200" w:line="36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>
      <w:pPr>
        <w:spacing w:before="156" w:beforeLines="50" w:after="624" w:afterLines="200" w:line="36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>
      <w:pPr>
        <w:spacing w:before="312" w:beforeLines="100" w:after="312" w:afterLines="100" w:line="360" w:lineRule="auto"/>
        <w:jc w:val="center"/>
        <w:outlineLvl w:val="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申请企业：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szCs w:val="32"/>
        </w:rPr>
        <w:t>（单位公章）</w:t>
      </w:r>
    </w:p>
    <w:p>
      <w:pPr>
        <w:spacing w:before="312" w:beforeLines="100" w:after="312" w:afterLines="100" w:line="360" w:lineRule="auto"/>
        <w:jc w:val="center"/>
        <w:outlineLvl w:val="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申请日期：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spacing w:before="156" w:beforeLines="50" w:after="624" w:afterLines="200" w:line="360" w:lineRule="auto"/>
        <w:jc w:val="left"/>
        <w:outlineLvl w:val="0"/>
        <w:rPr>
          <w:rFonts w:ascii="Times New Roman" w:hAnsi="Times New Roman"/>
          <w:b/>
          <w:sz w:val="44"/>
          <w:szCs w:val="44"/>
        </w:rPr>
      </w:pPr>
    </w:p>
    <w:p>
      <w:pPr>
        <w:spacing w:before="156" w:beforeLines="50" w:after="624" w:afterLines="200" w:line="360" w:lineRule="auto"/>
        <w:jc w:val="left"/>
        <w:outlineLvl w:val="0"/>
        <w:rPr>
          <w:rFonts w:ascii="Times New Roman" w:hAnsi="Times New Roman"/>
          <w:b/>
          <w:sz w:val="44"/>
          <w:szCs w:val="44"/>
        </w:rPr>
      </w:pPr>
    </w:p>
    <w:p>
      <w:pPr>
        <w:spacing w:before="156" w:beforeLines="50" w:after="624" w:afterLines="200" w:line="360" w:lineRule="auto"/>
        <w:jc w:val="left"/>
        <w:outlineLvl w:val="0"/>
        <w:rPr>
          <w:rFonts w:ascii="Times New Roman" w:hAnsi="Times New Roman"/>
          <w:b/>
          <w:sz w:val="44"/>
          <w:szCs w:val="44"/>
        </w:rPr>
      </w:pPr>
    </w:p>
    <w:p>
      <w:pPr>
        <w:spacing w:before="156" w:beforeLines="50" w:after="624" w:afterLines="200" w:line="360" w:lineRule="auto"/>
        <w:jc w:val="center"/>
        <w:outlineLvl w:val="0"/>
        <w:rPr>
          <w:rFonts w:hint="eastAsia" w:ascii="楷体_GB2312" w:hAnsi="楷体_GB2312" w:eastAsia="楷体_GB2312"/>
          <w:b/>
          <w:sz w:val="32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/>
          <w:b/>
          <w:sz w:val="32"/>
          <w:szCs w:val="36"/>
        </w:rPr>
        <w:t>工业和信息化部制</w:t>
      </w:r>
    </w:p>
    <w:p>
      <w:pPr>
        <w:spacing w:before="624" w:beforeLines="200" w:after="156" w:afterLines="50"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  写  须  知</w:t>
      </w:r>
    </w:p>
    <w:p>
      <w:pPr>
        <w:pStyle w:val="6"/>
        <w:numPr>
          <w:ilvl w:val="0"/>
          <w:numId w:val="1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填写申请书应确保所填资料真实准确。</w:t>
      </w:r>
    </w:p>
    <w:p>
      <w:pPr>
        <w:pStyle w:val="6"/>
        <w:numPr>
          <w:ilvl w:val="0"/>
          <w:numId w:val="1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申请书需同时提交纸质版和电子版，纸质版需手写部分应用黑色钢笔或中性笔填写，字迹清楚。</w:t>
      </w:r>
    </w:p>
    <w:p>
      <w:pPr>
        <w:pStyle w:val="6"/>
        <w:numPr>
          <w:ilvl w:val="0"/>
          <w:numId w:val="1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填报项目（含表格）页面不足时，可另附页面。</w:t>
      </w:r>
    </w:p>
    <w:p>
      <w:pPr>
        <w:pStyle w:val="6"/>
        <w:numPr>
          <w:ilvl w:val="0"/>
          <w:numId w:val="1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请在申请报告所选项目对应的“□”内打“√”。</w:t>
      </w:r>
    </w:p>
    <w:p>
      <w:pPr>
        <w:pStyle w:val="6"/>
        <w:numPr>
          <w:ilvl w:val="0"/>
          <w:numId w:val="1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申请书不包含非新能源汽车动力蓄电池方面的内容。</w:t>
      </w:r>
    </w:p>
    <w:p>
      <w:pPr>
        <w:spacing w:before="1560" w:beforeLines="500" w:after="156" w:afterLines="50" w:line="360" w:lineRule="auto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企  业  声  明</w:t>
      </w:r>
    </w:p>
    <w:p>
      <w:pPr>
        <w:pStyle w:val="6"/>
        <w:numPr>
          <w:ilvl w:val="0"/>
          <w:numId w:val="2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本企业自愿申请并遵守《新能源汽车废旧动力蓄电池综合利用行业规范条件》及相关文件的规定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2"/>
        </w:numPr>
        <w:spacing w:before="100" w:beforeLines="0" w:beforeAutospacing="1" w:after="100" w:afterLines="0" w:afterAutospacing="1"/>
        <w:ind w:left="0"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本企业自愿提供真实、有效的材料，如有虚假，愿意承担相应法律责任。</w:t>
      </w:r>
    </w:p>
    <w:p>
      <w:pPr>
        <w:spacing w:before="100" w:beforeLines="0" w:beforeAutospacing="1" w:after="100" w:afterLines="0" w:afterAutospacing="1"/>
        <w:jc w:val="both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2400" w:firstLineChars="75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申请企业法人代表(签字)：</w:t>
      </w:r>
    </w:p>
    <w:p>
      <w:pPr>
        <w:ind w:firstLine="2400" w:firstLineChars="75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年   月   日</w:t>
      </w:r>
    </w:p>
    <w:p>
      <w:pPr>
        <w:ind w:firstLine="2400" w:firstLineChars="750"/>
        <w:jc w:val="both"/>
        <w:rPr>
          <w:rFonts w:hint="eastAsia" w:ascii="仿宋_GB2312" w:hAnsi="仿宋_GB2312" w:eastAsia="仿宋_GB2312"/>
          <w:sz w:val="32"/>
          <w:szCs w:val="32"/>
        </w:rPr>
        <w:sectPr>
          <w:pgSz w:w="11906" w:h="16838"/>
          <w:pgMar w:top="1780" w:right="1800" w:bottom="178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2"/>
        </w:rPr>
        <w:t>（申请企业盖章)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表1</w:t>
      </w:r>
    </w:p>
    <w:p>
      <w:pPr>
        <w:jc w:val="center"/>
        <w:rPr>
          <w:rFonts w:hint="eastAsia" w:ascii="宋体" w:hAnsi="宋体"/>
          <w:b/>
          <w:bCs/>
          <w:sz w:val="36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废旧动力蓄电池综合利用企业基本情况表</w:t>
      </w:r>
    </w:p>
    <w:p>
      <w:pPr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填表人：                         联系电话：    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417"/>
        <w:gridCol w:w="1418"/>
        <w:gridCol w:w="254"/>
        <w:gridCol w:w="144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749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企业名称：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企业邮箱</w:t>
            </w:r>
          </w:p>
        </w:tc>
        <w:tc>
          <w:tcPr>
            <w:tcW w:w="2773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773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员工人数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技术人员数量</w:t>
            </w:r>
          </w:p>
        </w:tc>
        <w:tc>
          <w:tcPr>
            <w:tcW w:w="2773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企业类型</w:t>
            </w:r>
          </w:p>
        </w:tc>
        <w:tc>
          <w:tcPr>
            <w:tcW w:w="710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内资（国有□ 集体□ 民营□）中外合资□ 港澳台□ 外商独资□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上市情况</w:t>
            </w:r>
          </w:p>
        </w:tc>
        <w:tc>
          <w:tcPr>
            <w:tcW w:w="710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境内上市□    境外上市□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总处理能力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（万/吨）</w:t>
            </w:r>
          </w:p>
        </w:tc>
        <w:tc>
          <w:tcPr>
            <w:tcW w:w="1240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厂区面积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（平方米）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作业场地面积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（平方米）</w:t>
            </w:r>
          </w:p>
        </w:tc>
        <w:tc>
          <w:tcPr>
            <w:tcW w:w="1326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上年度综合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利用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（万吨）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上年度产品销售量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（万吨）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上年度企业营业总收入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（万元）</w:t>
            </w:r>
          </w:p>
        </w:tc>
        <w:tc>
          <w:tcPr>
            <w:tcW w:w="1326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是否为资源综合利用认证企业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是□      否□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是否为废旧动力蓄电池综合利用示范基地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</w:trPr>
        <w:tc>
          <w:tcPr>
            <w:tcW w:w="852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补充说明（包括但不限于废旧动力蓄电池的类型、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综合利用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量等其他整体情况，可另附页。）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567" w:gutter="0"/>
          <w:pgNumType w:start="1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表2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废旧动力蓄电池综合利用企业规范情况表</w:t>
      </w:r>
    </w:p>
    <w:p>
      <w:pPr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填表人：                            联系电话：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1559"/>
        <w:gridCol w:w="2268"/>
        <w:gridCol w:w="2268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内容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项目批复情况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工业投资主管部门核准（或备案）文件及文号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土地主管部门批准文件及文号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安全生产主管部门批准文件及文号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产业布局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企业建设是否有规范化设计要求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周边是否有自然保护区、生态功能保护区、风景名胜区、饮用水源保护区、基本农田保护区和其他需要特别保护的区域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与居民聚集区、易燃易爆敏感单位和其他严防污染的企业距离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ind w:left="120" w:hanging="120" w:hanging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工艺和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装备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spacing w:before="312" w:beforeLine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火法工业□          湿法工艺□            其他□</w:t>
            </w:r>
          </w:p>
          <w:p>
            <w:pPr>
              <w:spacing w:after="312" w:afterLine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机械物理法□        生物冶金法□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其他请具体说明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生产线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条数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可附表说明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机械设备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台数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可附表说明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检测设备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台数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可附表说明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是否配套有分类收集储存设施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是否配套有废气、废水废渣等处理设施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是否配套有安全消防设施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是否采用节能、环保、高效的新技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术、新工艺、新装备（如符合国家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鼓励发展的环保产业设备目录要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求）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资源回收利用 及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能耗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执行相关标准情况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梯级利用情况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元素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综合回收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率，如镍、钴、锰、铁、铜、铝等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提供计算方法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水循环利用率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综合能耗（千瓦时/吨）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废旧动力蓄电池中的有色金属、石墨、塑料、橡胶、隔膜、电解液等的处理措施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环境保护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废水排放是否达到《污水综合排放</w:t>
            </w:r>
          </w:p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标准》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请提供相关复印件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粉尘排放是否达到《大气污染物综</w:t>
            </w:r>
          </w:p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合排放标准》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噪声是否达到《工业企业厂界环境</w:t>
            </w:r>
          </w:p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噪声排放标准》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是否通过 ISO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环境管理体系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认证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储存设施的建设、管理依据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运输管理要求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专职环保管理人员数量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是否定期开展清洁生产审核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近期通过清洁生产审核的时间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是否有完善的安全环保制度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污染物排放标准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废水处理设施设备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废气收集处理设施设备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固废处理设施设备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有毒有害、易燃易爆等残余物是否按国家有关要求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进行无害化处置或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交有相关资质的企业集中进行处理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请提供相关复印件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是否有突发环境事件或污染事件应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急设施和处理预案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产品质量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专职质量管理人员数量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是否具备完善的质量管理制度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是否通过ISO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质量管理体系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认证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产品质量是否达到国家及行业标准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是否已建立信息化管理系统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是否制定完善的岗位操作守则和工作流程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已参加行业培训人员数量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安全生产和职业健康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是否有职业危害防护措施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专职安全管理人员数量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是否配备安全防护设施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是否依法经过安全生产监督管理部门审查、验收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请提供相关复印件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是否通过ISO职业健康安全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管理体系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认证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是否有健全的安全生产组织管理体系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作业环境标准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是否有职工安全生产培训制度和安全生产检查制度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用工制度是否符合《劳动合同法》规定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567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24"/>
          <w:szCs w:val="24"/>
        </w:rPr>
        <w:t>注：纸面不敷、可另附页。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表3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省级工业和信息化主管部门审核意见表</w:t>
      </w:r>
    </w:p>
    <w:p>
      <w:pPr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填表人：                            联系电话：                         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申请企业</w:t>
            </w: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申请时间</w:t>
            </w: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8642" w:type="dxa"/>
            <w:gridSpan w:val="2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省级工业和信息化主管部门意见：</w:t>
            </w: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单位公章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    年       月       日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注：纸面不敷、可另附页。</w:t>
      </w:r>
    </w:p>
    <w:p>
      <w:pPr/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">
    <w:nsid w:val="00000004"/>
    <w:multiLevelType w:val="multilevel"/>
    <w:tmpl w:val="00000004"/>
    <w:lvl w:ilvl="0" w:tentative="1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1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48F0"/>
    <w:rsid w:val="50A248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2016-01-08T02:02:00Z</dcterms:created>
  <dc:creator>Administrator</dc:creator>
  <cp:lastModifiedBy>Administrator</cp:lastModifiedBy>
  <dcterms:modified xsi:type="dcterms:W3CDTF">2016-01-08T02:05:10Z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