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3"/>
      </w:pPr>
      <w:bookmarkStart w:id="0" w:name="_Toc450670902"/>
      <w:bookmarkStart w:id="1" w:name="_Toc451368524"/>
      <w:bookmarkStart w:id="2" w:name="_Toc451604291"/>
      <w:bookmarkStart w:id="3" w:name="_Toc451860867"/>
      <w:bookmarkStart w:id="4" w:name="_Toc452053906"/>
      <w:bookmarkStart w:id="5" w:name="_Toc452480279"/>
      <w:bookmarkStart w:id="6" w:name="_Toc452750822"/>
      <w:bookmarkStart w:id="178" w:name="_GoBack"/>
      <w:bookmarkEnd w:id="178"/>
      <w:r>
        <w:rPr>
          <w:rFonts w:hint="eastAsia"/>
        </w:rPr>
        <w:t>电动客车安全技术条件</w:t>
      </w:r>
      <w:bookmarkEnd w:id="0"/>
      <w:bookmarkEnd w:id="1"/>
      <w:bookmarkEnd w:id="2"/>
      <w:bookmarkEnd w:id="3"/>
      <w:bookmarkEnd w:id="4"/>
      <w:bookmarkEnd w:id="5"/>
      <w:bookmarkEnd w:id="6"/>
    </w:p>
    <w:p>
      <w:pPr>
        <w:pStyle w:val="48"/>
        <w:spacing w:before="312" w:after="312"/>
      </w:pPr>
      <w:bookmarkStart w:id="7" w:name="_Toc450582088"/>
      <w:bookmarkStart w:id="8" w:name="_Toc450582266"/>
      <w:bookmarkStart w:id="9" w:name="_Toc450582361"/>
      <w:bookmarkStart w:id="10" w:name="_Toc450582975"/>
      <w:bookmarkStart w:id="11" w:name="_Toc452750823"/>
      <w:r>
        <w:rPr>
          <w:rFonts w:hint="eastAsia"/>
        </w:rPr>
        <w:t>范围</w:t>
      </w:r>
      <w:bookmarkEnd w:id="7"/>
      <w:bookmarkEnd w:id="8"/>
      <w:bookmarkEnd w:id="9"/>
      <w:bookmarkEnd w:id="10"/>
      <w:bookmarkEnd w:id="11"/>
    </w:p>
    <w:p>
      <w:pPr>
        <w:pStyle w:val="27"/>
        <w:rPr>
          <w:rFonts w:hAnsi="宋体"/>
        </w:rPr>
      </w:pPr>
      <w:r>
        <w:rPr>
          <w:rFonts w:hint="eastAsia" w:hAnsi="宋体"/>
        </w:rPr>
        <w:t>本</w:t>
      </w:r>
      <w:r>
        <w:rPr>
          <w:rFonts w:hint="eastAsia" w:hAnsi="宋体"/>
          <w:sz w:val="24"/>
          <w:szCs w:val="21"/>
        </w:rPr>
        <w:t>文件</w:t>
      </w:r>
      <w:r>
        <w:rPr>
          <w:rFonts w:hint="eastAsia" w:hAnsi="宋体"/>
        </w:rPr>
        <w:t>规定了电动客车的安全技术要求和试验方法。</w:t>
      </w:r>
    </w:p>
    <w:p>
      <w:pPr>
        <w:pStyle w:val="27"/>
        <w:rPr>
          <w:rFonts w:hAnsi="宋体"/>
        </w:rPr>
      </w:pPr>
      <w:r>
        <w:rPr>
          <w:rFonts w:hint="eastAsia" w:hAnsi="宋体"/>
        </w:rPr>
        <w:t>本</w:t>
      </w:r>
      <w:r>
        <w:rPr>
          <w:rFonts w:hint="eastAsia" w:hAnsi="宋体"/>
          <w:sz w:val="24"/>
          <w:szCs w:val="21"/>
        </w:rPr>
        <w:t>文件</w:t>
      </w:r>
      <w:r>
        <w:rPr>
          <w:rFonts w:hint="eastAsia" w:hAnsi="宋体"/>
        </w:rPr>
        <w:t>适用于车长大于等于6m的单层电动客车，包括纯电动客车、混合动力客车（含插电式混合动力客车）、燃料电池电动客车。</w:t>
      </w:r>
    </w:p>
    <w:p>
      <w:pPr>
        <w:pStyle w:val="48"/>
        <w:spacing w:before="312" w:after="312"/>
      </w:pPr>
      <w:bookmarkStart w:id="12" w:name="_Toc450582089"/>
      <w:bookmarkStart w:id="13" w:name="_Toc450582267"/>
      <w:bookmarkStart w:id="14" w:name="_Toc450582362"/>
      <w:bookmarkStart w:id="15" w:name="_Toc450582976"/>
      <w:bookmarkStart w:id="16" w:name="_Toc452750824"/>
      <w:r>
        <w:rPr>
          <w:rFonts w:hint="eastAsia"/>
        </w:rPr>
        <w:t>规范性引用文件</w:t>
      </w:r>
      <w:bookmarkEnd w:id="12"/>
      <w:bookmarkEnd w:id="13"/>
      <w:bookmarkEnd w:id="14"/>
      <w:bookmarkEnd w:id="15"/>
      <w:bookmarkEnd w:id="16"/>
    </w:p>
    <w:p>
      <w:pPr>
        <w:pStyle w:val="27"/>
      </w:pPr>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27"/>
      </w:pPr>
      <w:r>
        <w:t>GB/T 2408</w:t>
      </w:r>
      <w:r>
        <w:rPr>
          <w:rFonts w:hint="eastAsia"/>
        </w:rPr>
        <w:t>—</w:t>
      </w:r>
      <w:r>
        <w:t>2008</w:t>
      </w:r>
      <w:r>
        <w:rPr>
          <w:rFonts w:hint="eastAsia"/>
        </w:rPr>
        <w:t xml:space="preserve">  塑料 燃烧性能的测定 水平法和垂直法</w:t>
      </w:r>
    </w:p>
    <w:p>
      <w:pPr>
        <w:pStyle w:val="27"/>
      </w:pPr>
      <w:r>
        <w:rPr>
          <w:rFonts w:hint="eastAsia"/>
        </w:rPr>
        <w:t>GB</w:t>
      </w:r>
      <w:r>
        <w:t>/T</w:t>
      </w:r>
      <w:r>
        <w:rPr>
          <w:rFonts w:hint="eastAsia"/>
        </w:rPr>
        <w:t xml:space="preserve"> 4208—2008  外壳防护等级(IP代码)</w:t>
      </w:r>
    </w:p>
    <w:p>
      <w:pPr>
        <w:pStyle w:val="27"/>
      </w:pPr>
      <w:r>
        <w:rPr>
          <w:rFonts w:hint="eastAsia"/>
        </w:rPr>
        <w:t>GB 8410—2006  汽车内饰材料的燃烧特性</w:t>
      </w:r>
    </w:p>
    <w:p>
      <w:pPr>
        <w:pStyle w:val="27"/>
      </w:pPr>
      <w:r>
        <w:rPr>
          <w:rFonts w:hint="eastAsia"/>
        </w:rPr>
        <w:t>GB 8624 建筑材料及制品燃烧性能分级</w:t>
      </w:r>
    </w:p>
    <w:p>
      <w:pPr>
        <w:pStyle w:val="27"/>
      </w:pPr>
      <w:r>
        <w:rPr>
          <w:rFonts w:hint="eastAsia" w:ascii="宋体" w:hAnsi="宋体" w:eastAsia="宋体"/>
        </w:rPr>
        <w:t xml:space="preserve">GB/T 10297-2008  </w:t>
      </w:r>
      <w:r>
        <w:rPr>
          <w:rFonts w:hint="eastAsia"/>
        </w:rPr>
        <w:t>非金属固体材料导热系数的测定热线法</w:t>
      </w:r>
    </w:p>
    <w:p>
      <w:pPr>
        <w:pStyle w:val="27"/>
      </w:pPr>
      <w:r>
        <w:fldChar w:fldCharType="begin"/>
      </w:r>
      <w:r>
        <w:instrText xml:space="preserve">HYPERLINK "http://10.8.0.138:8080/xitong/xilan.asp?id=7031&amp;T=bzNO&amp;W=13094" \t "tl" </w:instrText>
      </w:r>
      <w:r>
        <w:fldChar w:fldCharType="separate"/>
      </w:r>
      <w:r>
        <w:t>GB 13094</w:t>
      </w:r>
      <w:r>
        <w:fldChar w:fldCharType="end"/>
      </w:r>
      <w:r>
        <w:rPr>
          <w:rFonts w:hint="eastAsia"/>
        </w:rPr>
        <w:t xml:space="preserve">  </w:t>
      </w:r>
      <w:r>
        <w:t>客车结构安全要求</w:t>
      </w:r>
    </w:p>
    <w:p>
      <w:pPr>
        <w:pStyle w:val="27"/>
      </w:pPr>
      <w:r>
        <w:fldChar w:fldCharType="begin"/>
      </w:r>
      <w:r>
        <w:instrText xml:space="preserve">HYPERLINK "http://10.8.0.138:8080/xitong/xilan.asp?id=35842&amp;T=bzNO&amp;W=18384" \t "tl" </w:instrText>
      </w:r>
      <w:r>
        <w:fldChar w:fldCharType="separate"/>
      </w:r>
      <w:r>
        <w:t>GB/T 18384.3</w:t>
      </w:r>
      <w:r>
        <w:rPr>
          <w:rFonts w:hint="eastAsia"/>
        </w:rPr>
        <w:t>—</w:t>
      </w:r>
      <w:r>
        <w:t>2015</w:t>
      </w:r>
      <w:r>
        <w:fldChar w:fldCharType="end"/>
      </w:r>
      <w:r>
        <w:rPr>
          <w:rFonts w:hint="eastAsia"/>
        </w:rPr>
        <w:t xml:space="preserve">  </w:t>
      </w:r>
      <w:r>
        <w:t>电动汽车 安全要求 第3部分：人员触电防护</w:t>
      </w:r>
    </w:p>
    <w:p>
      <w:pPr>
        <w:pStyle w:val="27"/>
      </w:pPr>
      <w:r>
        <w:rPr>
          <w:rFonts w:hint="eastAsia"/>
        </w:rPr>
        <w:t>GB/T 19596 电动汽车术语</w:t>
      </w:r>
    </w:p>
    <w:p>
      <w:pPr>
        <w:pStyle w:val="27"/>
      </w:pPr>
      <w:r>
        <w:rPr>
          <w:rFonts w:hint="eastAsia"/>
        </w:rPr>
        <w:t>GB 24407—2012  专用校车安全技术条件</w:t>
      </w:r>
    </w:p>
    <w:p>
      <w:pPr>
        <w:pStyle w:val="27"/>
      </w:pPr>
      <w:r>
        <w:rPr>
          <w:rFonts w:hint="eastAsia"/>
        </w:rPr>
        <w:t>GB/T 28046.2-2011 道路车辆 电气及电子设备的环境条件和试验 第2部分：电气负荷</w:t>
      </w:r>
    </w:p>
    <w:p>
      <w:pPr>
        <w:pStyle w:val="27"/>
      </w:pPr>
      <w:r>
        <w:rPr>
          <w:rFonts w:hint="eastAsia"/>
        </w:rPr>
        <w:t xml:space="preserve">GB/T 31467.3—2015  电动汽车用锂离子动力蓄电池包和系统 第3部分：安全性要求与测试方法 </w:t>
      </w:r>
    </w:p>
    <w:p>
      <w:pPr>
        <w:pStyle w:val="27"/>
      </w:pPr>
      <w:r>
        <w:rPr>
          <w:rFonts w:hint="eastAsia"/>
        </w:rPr>
        <w:t>GB/T 31498—2015  电动汽车碰撞后安全要求</w:t>
      </w:r>
    </w:p>
    <w:p>
      <w:pPr>
        <w:pStyle w:val="27"/>
      </w:pPr>
      <w:r>
        <w:rPr>
          <w:rFonts w:hint="eastAsia"/>
        </w:rPr>
        <w:t>QC/T 413  汽车电气设备基本技术条件</w:t>
      </w:r>
    </w:p>
    <w:p>
      <w:pPr>
        <w:pStyle w:val="27"/>
      </w:pPr>
      <w:r>
        <w:rPr>
          <w:rFonts w:hint="eastAsia"/>
        </w:rPr>
        <w:t>QC/T 417.1  车用电线束插接器 第1部分 定义，试验方法和一般性能要求（汽车部分）</w:t>
      </w:r>
    </w:p>
    <w:p>
      <w:pPr>
        <w:pStyle w:val="27"/>
      </w:pPr>
      <w:r>
        <w:rPr>
          <w:rFonts w:hint="eastAsia"/>
        </w:rPr>
        <w:t>QC/T 417.3  车用电线束插接器 第3部分 单线片式插接件的尺寸和特殊要求</w:t>
      </w:r>
    </w:p>
    <w:p>
      <w:pPr>
        <w:pStyle w:val="27"/>
      </w:pPr>
      <w:r>
        <w:rPr>
          <w:rFonts w:hint="eastAsia"/>
        </w:rPr>
        <w:t>QC/T 417.4  车用电线束插接器 第4部分 多线片式插接件的尺寸和特殊要求</w:t>
      </w:r>
    </w:p>
    <w:p>
      <w:pPr>
        <w:pStyle w:val="27"/>
      </w:pPr>
      <w:r>
        <w:fldChar w:fldCharType="begin"/>
      </w:r>
      <w:r>
        <w:instrText xml:space="preserve">HYPERLINK "http://10.8.0.138:8080/xitong/xilan.asp?id=32428&amp;T=bzNO&amp;W=897" \t "tl" </w:instrText>
      </w:r>
      <w:r>
        <w:fldChar w:fldCharType="separate"/>
      </w:r>
      <w:r>
        <w:t>QC/T 897—2011</w:t>
      </w:r>
      <w:r>
        <w:fldChar w:fldCharType="end"/>
      </w:r>
      <w:r>
        <w:rPr>
          <w:rFonts w:hint="eastAsia"/>
        </w:rPr>
        <w:t xml:space="preserve">  </w:t>
      </w:r>
      <w:r>
        <w:t>电动汽车用电池管理系统技术</w:t>
      </w:r>
      <w:r>
        <w:rPr>
          <w:rFonts w:hint="eastAsia"/>
        </w:rPr>
        <w:t>条件</w:t>
      </w:r>
    </w:p>
    <w:p>
      <w:pPr>
        <w:pStyle w:val="27"/>
      </w:pPr>
      <w:r>
        <w:rPr>
          <w:rFonts w:hint="eastAsia"/>
        </w:rPr>
        <w:t>QC/T 1037—2016  道路车辆用高压电缆</w:t>
      </w:r>
    </w:p>
    <w:p>
      <w:pPr>
        <w:pStyle w:val="27"/>
        <w:rPr>
          <w:rFonts w:hAnsi="宋体"/>
        </w:rPr>
      </w:pPr>
      <w:r>
        <w:rPr>
          <w:rFonts w:hint="eastAsia" w:hAnsi="宋体"/>
        </w:rPr>
        <w:t>QC/T 29106—2014  汽车电线束技术条件</w:t>
      </w:r>
    </w:p>
    <w:p>
      <w:pPr>
        <w:pStyle w:val="48"/>
        <w:spacing w:before="312" w:after="312"/>
      </w:pPr>
      <w:bookmarkStart w:id="17" w:name="_Toc451604294"/>
      <w:bookmarkEnd w:id="17"/>
      <w:bookmarkStart w:id="18" w:name="_Toc450582090"/>
      <w:bookmarkStart w:id="19" w:name="_Toc450582268"/>
      <w:bookmarkStart w:id="20" w:name="_Toc450582363"/>
      <w:bookmarkStart w:id="21" w:name="_Toc450582977"/>
      <w:bookmarkStart w:id="22" w:name="_Toc452750825"/>
      <w:r>
        <w:rPr>
          <w:rFonts w:hint="eastAsia"/>
        </w:rPr>
        <w:t>术语和定义</w:t>
      </w:r>
      <w:bookmarkEnd w:id="18"/>
      <w:bookmarkEnd w:id="19"/>
      <w:bookmarkEnd w:id="20"/>
      <w:bookmarkEnd w:id="21"/>
      <w:bookmarkEnd w:id="22"/>
    </w:p>
    <w:p>
      <w:pPr>
        <w:pStyle w:val="27"/>
      </w:pPr>
      <w:r>
        <w:fldChar w:fldCharType="begin"/>
      </w:r>
      <w:r>
        <w:instrText xml:space="preserve">HYPERLINK "http://10.8.0.138:8080/xitong/xilan.asp?id=7031&amp;T=bzNO&amp;W=13094" \t "tl" </w:instrText>
      </w:r>
      <w:r>
        <w:fldChar w:fldCharType="separate"/>
      </w:r>
      <w:r>
        <w:t>GB 13094</w:t>
      </w:r>
      <w:r>
        <w:fldChar w:fldCharType="end"/>
      </w:r>
      <w:r>
        <w:rPr>
          <w:rFonts w:hint="eastAsia"/>
        </w:rPr>
        <w:t>、GB/T 18384.3、GB/T 19596确立的及下列术语和定义适用于本文件。</w:t>
      </w:r>
    </w:p>
    <w:p>
      <w:pPr>
        <w:pStyle w:val="125"/>
        <w:spacing w:before="78" w:after="78"/>
      </w:pPr>
      <w:bookmarkStart w:id="23" w:name="_Toc450582776"/>
      <w:bookmarkEnd w:id="23"/>
      <w:bookmarkStart w:id="24" w:name="_Toc450582978"/>
      <w:bookmarkEnd w:id="24"/>
    </w:p>
    <w:p>
      <w:pPr>
        <w:pStyle w:val="27"/>
        <w:spacing w:beforeLines="50" w:afterLines="50"/>
        <w:rPr>
          <w:rFonts w:ascii="黑体" w:hAnsi="黑体" w:eastAsia="黑体"/>
        </w:rPr>
      </w:pPr>
      <w:r>
        <w:rPr>
          <w:rFonts w:hint="eastAsia" w:ascii="黑体" w:hAnsi="黑体" w:eastAsia="黑体"/>
        </w:rPr>
        <w:t xml:space="preserve">热失控  </w:t>
      </w:r>
      <w:r>
        <w:rPr>
          <w:rFonts w:ascii="Times New Roman" w:eastAsia="黑体"/>
        </w:rPr>
        <w:t>thermal runaway</w:t>
      </w:r>
    </w:p>
    <w:p>
      <w:pPr>
        <w:pStyle w:val="27"/>
      </w:pPr>
      <w:r>
        <w:rPr>
          <w:rFonts w:hint="eastAsia"/>
        </w:rPr>
        <w:t>单体蓄电池</w:t>
      </w:r>
      <w:r>
        <w:rPr>
          <w:rFonts w:hint="eastAsia" w:cs="Helvetica"/>
          <w:szCs w:val="21"/>
        </w:rPr>
        <w:t>放热连锁反应</w:t>
      </w:r>
      <w:r>
        <w:rPr>
          <w:rFonts w:cs="Helvetica"/>
          <w:szCs w:val="21"/>
        </w:rPr>
        <w:t>引起</w:t>
      </w:r>
      <w:r>
        <w:rPr>
          <w:rFonts w:hint="eastAsia" w:cs="Helvetica"/>
          <w:szCs w:val="21"/>
        </w:rPr>
        <w:t>电池自温升速率急剧变化的过热</w:t>
      </w:r>
      <w:r>
        <w:rPr>
          <w:rFonts w:cs="Helvetica"/>
          <w:szCs w:val="21"/>
        </w:rPr>
        <w:t>、</w:t>
      </w:r>
      <w:r>
        <w:rPr>
          <w:rFonts w:hint="eastAsia" w:cs="Helvetica"/>
          <w:szCs w:val="21"/>
        </w:rPr>
        <w:t>起火</w:t>
      </w:r>
      <w:r>
        <w:rPr>
          <w:rFonts w:cs="Helvetica"/>
          <w:szCs w:val="21"/>
        </w:rPr>
        <w:t>、</w:t>
      </w:r>
      <w:r>
        <w:rPr>
          <w:rFonts w:hint="eastAsia" w:cs="Helvetica"/>
          <w:szCs w:val="21"/>
        </w:rPr>
        <w:t>爆炸现象。</w:t>
      </w:r>
    </w:p>
    <w:p>
      <w:pPr>
        <w:pStyle w:val="125"/>
      </w:pPr>
      <w:bookmarkStart w:id="25" w:name="_Toc450582777"/>
      <w:bookmarkEnd w:id="25"/>
      <w:bookmarkStart w:id="26" w:name="_Toc450582979"/>
      <w:bookmarkEnd w:id="26"/>
    </w:p>
    <w:p>
      <w:pPr>
        <w:pStyle w:val="27"/>
        <w:spacing w:beforeLines="50" w:afterLines="50"/>
        <w:rPr>
          <w:rFonts w:ascii="黑体" w:hAnsi="黑体" w:eastAsia="黑体"/>
        </w:rPr>
      </w:pPr>
      <w:r>
        <w:rPr>
          <w:rFonts w:hint="eastAsia" w:ascii="黑体" w:hAnsi="黑体" w:eastAsia="黑体"/>
        </w:rPr>
        <w:t xml:space="preserve">热失控扩展  </w:t>
      </w:r>
      <w:r>
        <w:rPr>
          <w:rFonts w:ascii="Times New Roman" w:eastAsia="黑体"/>
        </w:rPr>
        <w:t>thermal</w:t>
      </w:r>
      <w:r>
        <w:rPr>
          <w:rFonts w:hint="eastAsia" w:ascii="Times New Roman" w:eastAsia="黑体"/>
        </w:rPr>
        <w:t xml:space="preserve"> runaway</w:t>
      </w:r>
      <w:r>
        <w:rPr>
          <w:rFonts w:ascii="Times New Roman" w:eastAsia="黑体"/>
        </w:rPr>
        <w:t xml:space="preserve"> </w:t>
      </w:r>
      <w:r>
        <w:rPr>
          <w:rFonts w:ascii="Times New Roman"/>
          <w:szCs w:val="21"/>
        </w:rPr>
        <w:t>propagation</w:t>
      </w:r>
    </w:p>
    <w:p>
      <w:pPr>
        <w:pStyle w:val="27"/>
      </w:pPr>
      <w:r>
        <w:rPr>
          <w:rFonts w:hint="eastAsia"/>
        </w:rPr>
        <w:t>蓄电池包或系统内部的单体蓄电池或单体蓄电池单元热失控，并触发该蓄电池系统中相邻或其他部位蓄电池的热失控的现象。</w:t>
      </w:r>
    </w:p>
    <w:p>
      <w:pPr>
        <w:pStyle w:val="48"/>
        <w:spacing w:before="312" w:after="312"/>
      </w:pPr>
      <w:bookmarkStart w:id="27" w:name="_Toc451604296"/>
      <w:bookmarkEnd w:id="27"/>
      <w:bookmarkStart w:id="28" w:name="_Toc451281157"/>
      <w:bookmarkEnd w:id="28"/>
      <w:bookmarkStart w:id="29" w:name="_Toc451348086"/>
      <w:bookmarkEnd w:id="29"/>
      <w:bookmarkStart w:id="30" w:name="_Toc451368528"/>
      <w:bookmarkEnd w:id="30"/>
      <w:bookmarkStart w:id="31" w:name="_Toc451604297"/>
      <w:bookmarkEnd w:id="31"/>
      <w:bookmarkStart w:id="32" w:name="_Toc451604298"/>
      <w:bookmarkEnd w:id="32"/>
      <w:bookmarkStart w:id="33" w:name="_Toc451604299"/>
      <w:bookmarkEnd w:id="33"/>
      <w:bookmarkStart w:id="34" w:name="_Toc451604300"/>
      <w:bookmarkEnd w:id="34"/>
      <w:bookmarkStart w:id="35" w:name="_Toc451241341"/>
      <w:bookmarkEnd w:id="35"/>
      <w:bookmarkStart w:id="36" w:name="_Toc451242788"/>
      <w:bookmarkEnd w:id="36"/>
      <w:bookmarkStart w:id="37" w:name="_Toc451243299"/>
      <w:bookmarkEnd w:id="37"/>
      <w:bookmarkStart w:id="38" w:name="_Toc451244636"/>
      <w:bookmarkEnd w:id="38"/>
      <w:bookmarkStart w:id="39" w:name="_Toc451281158"/>
      <w:bookmarkEnd w:id="39"/>
      <w:bookmarkStart w:id="40" w:name="_Toc451348087"/>
      <w:bookmarkEnd w:id="40"/>
      <w:bookmarkStart w:id="41" w:name="_Toc451368529"/>
      <w:bookmarkEnd w:id="41"/>
      <w:bookmarkStart w:id="42" w:name="_Toc451604301"/>
      <w:bookmarkEnd w:id="42"/>
      <w:bookmarkStart w:id="43" w:name="_Toc451604302"/>
      <w:bookmarkEnd w:id="43"/>
      <w:bookmarkStart w:id="44" w:name="_Toc451604303"/>
      <w:bookmarkEnd w:id="44"/>
      <w:bookmarkStart w:id="45" w:name="_Toc451604304"/>
      <w:bookmarkEnd w:id="45"/>
      <w:bookmarkStart w:id="46" w:name="_Toc451241342"/>
      <w:bookmarkEnd w:id="46"/>
      <w:bookmarkStart w:id="47" w:name="_Toc451242789"/>
      <w:bookmarkEnd w:id="47"/>
      <w:bookmarkStart w:id="48" w:name="_Toc451243300"/>
      <w:bookmarkEnd w:id="48"/>
      <w:bookmarkStart w:id="49" w:name="_Toc451244637"/>
      <w:bookmarkEnd w:id="49"/>
      <w:bookmarkStart w:id="50" w:name="_Toc451281159"/>
      <w:bookmarkEnd w:id="50"/>
      <w:bookmarkStart w:id="51" w:name="_Toc451348088"/>
      <w:bookmarkEnd w:id="51"/>
      <w:bookmarkStart w:id="52" w:name="_Toc451368530"/>
      <w:bookmarkEnd w:id="52"/>
      <w:bookmarkStart w:id="53" w:name="_Toc451604305"/>
      <w:bookmarkEnd w:id="53"/>
      <w:bookmarkStart w:id="54" w:name="_Toc451604306"/>
      <w:bookmarkEnd w:id="54"/>
      <w:bookmarkStart w:id="55" w:name="_Toc451604307"/>
      <w:bookmarkEnd w:id="55"/>
      <w:bookmarkStart w:id="56" w:name="_Toc451604308"/>
      <w:bookmarkEnd w:id="56"/>
      <w:bookmarkStart w:id="57" w:name="_Toc450582778"/>
      <w:bookmarkEnd w:id="57"/>
      <w:bookmarkStart w:id="58" w:name="_Toc450582980"/>
      <w:bookmarkEnd w:id="58"/>
      <w:bookmarkStart w:id="59" w:name="_Toc450582779"/>
      <w:bookmarkEnd w:id="59"/>
      <w:bookmarkStart w:id="60" w:name="_Toc450582981"/>
      <w:bookmarkEnd w:id="60"/>
      <w:bookmarkStart w:id="61" w:name="_Toc450582781"/>
      <w:bookmarkEnd w:id="61"/>
      <w:bookmarkStart w:id="62" w:name="_Toc450582983"/>
      <w:bookmarkEnd w:id="62"/>
      <w:bookmarkStart w:id="63" w:name="_Toc450582783"/>
      <w:bookmarkEnd w:id="63"/>
      <w:bookmarkStart w:id="64" w:name="_Toc450582985"/>
      <w:bookmarkEnd w:id="64"/>
      <w:bookmarkStart w:id="65" w:name="_Toc450582091"/>
      <w:bookmarkStart w:id="66" w:name="_Toc450582269"/>
      <w:bookmarkStart w:id="67" w:name="_Toc450582364"/>
      <w:bookmarkStart w:id="68" w:name="_Toc450582987"/>
      <w:bookmarkStart w:id="69" w:name="_Toc452750826"/>
      <w:r>
        <w:rPr>
          <w:rFonts w:hint="eastAsia"/>
        </w:rPr>
        <w:t>技术要求</w:t>
      </w:r>
      <w:bookmarkEnd w:id="65"/>
      <w:bookmarkEnd w:id="66"/>
      <w:bookmarkEnd w:id="67"/>
      <w:bookmarkEnd w:id="68"/>
      <w:r>
        <w:rPr>
          <w:rFonts w:hint="eastAsia"/>
        </w:rPr>
        <w:t>和试验方法</w:t>
      </w:r>
      <w:bookmarkEnd w:id="69"/>
    </w:p>
    <w:p>
      <w:pPr>
        <w:pStyle w:val="45"/>
        <w:spacing w:before="156" w:after="156"/>
        <w:ind w:left="0"/>
      </w:pPr>
      <w:bookmarkStart w:id="70" w:name="_Toc452750827"/>
      <w:r>
        <w:rPr>
          <w:rFonts w:hint="eastAsia"/>
        </w:rPr>
        <w:t>总则</w:t>
      </w:r>
      <w:bookmarkEnd w:id="70"/>
    </w:p>
    <w:p>
      <w:pPr>
        <w:pStyle w:val="66"/>
      </w:pPr>
      <w:r>
        <w:rPr>
          <w:rFonts w:hint="eastAsia"/>
        </w:rPr>
        <w:t>电动客车应符合相关的国家机动车强制性标准的要求，还应符合本文件的要求。</w:t>
      </w:r>
    </w:p>
    <w:p>
      <w:pPr>
        <w:pStyle w:val="66"/>
      </w:pPr>
      <w:r>
        <w:rPr>
          <w:rFonts w:hint="eastAsia"/>
        </w:rPr>
        <w:t>其它设计安装要求参照附录A。</w:t>
      </w:r>
    </w:p>
    <w:p>
      <w:pPr>
        <w:pStyle w:val="45"/>
        <w:spacing w:before="156" w:after="156"/>
        <w:ind w:left="0"/>
      </w:pPr>
      <w:bookmarkStart w:id="71" w:name="_Toc452750828"/>
      <w:r>
        <w:rPr>
          <w:rFonts w:hint="eastAsia"/>
        </w:rPr>
        <w:t>防水防尘性能</w:t>
      </w:r>
      <w:bookmarkEnd w:id="71"/>
    </w:p>
    <w:p>
      <w:pPr>
        <w:pStyle w:val="66"/>
      </w:pPr>
      <w:r>
        <w:rPr>
          <w:rFonts w:hint="eastAsia"/>
        </w:rPr>
        <w:t>车辆应以小于等于</w:t>
      </w:r>
      <w:r>
        <w:t>10km/h</w:t>
      </w:r>
      <w:r>
        <w:rPr>
          <w:rFonts w:hint="eastAsia"/>
        </w:rPr>
        <w:t>的车速匀速通过水深大于等于</w:t>
      </w:r>
      <w:r>
        <w:t>300mm</w:t>
      </w:r>
      <w:r>
        <w:rPr>
          <w:rFonts w:hint="eastAsia"/>
        </w:rPr>
        <w:t>的涉水水池，且涉水距离应大于等于</w:t>
      </w:r>
      <w:r>
        <w:t>300m</w:t>
      </w:r>
      <w:r>
        <w:rPr>
          <w:rFonts w:hint="eastAsia"/>
        </w:rPr>
        <w:t>，完成涉水试验，时间约为2min，若水池长度不足300m，需要进行多次，总时间（包括水池外的时间）应少于10min。</w:t>
      </w:r>
    </w:p>
    <w:p>
      <w:pPr>
        <w:pStyle w:val="66"/>
      </w:pPr>
      <w:r>
        <w:rPr>
          <w:rFonts w:hint="eastAsia"/>
        </w:rPr>
        <w:t>车辆涉水试验完成后10min内，按照</w:t>
      </w:r>
      <w:r>
        <w:fldChar w:fldCharType="begin"/>
      </w:r>
      <w:r>
        <w:instrText xml:space="preserve">HYPERLINK "http://10.8.0.138:8080/xitong/xilan.asp?id=35842&amp;T=bzNO&amp;W=18384" \t "tl" </w:instrText>
      </w:r>
      <w:r>
        <w:fldChar w:fldCharType="separate"/>
      </w:r>
      <w:r>
        <w:t>GB/T 18384.3</w:t>
      </w:r>
      <w:r>
        <w:rPr>
          <w:rFonts w:hint="eastAsia"/>
        </w:rPr>
        <w:t>—</w:t>
      </w:r>
      <w:r>
        <w:t>2015</w:t>
      </w:r>
      <w:r>
        <w:fldChar w:fldCharType="end"/>
      </w:r>
      <w:r>
        <w:rPr>
          <w:rFonts w:hint="eastAsia"/>
        </w:rPr>
        <w:t>中7.2的绝缘电阻测量方法完成测量，总绝缘电阻值应大于3MΩ。</w:t>
      </w:r>
    </w:p>
    <w:p>
      <w:pPr>
        <w:pStyle w:val="66"/>
      </w:pPr>
      <w:r>
        <w:rPr>
          <w:rFonts w:hint="eastAsia"/>
        </w:rPr>
        <w:t>以下部件的防护等级应不低于IP67，</w:t>
      </w:r>
      <w:r>
        <w:rPr>
          <w:rFonts w:hint="eastAsia" w:hAnsi="宋体"/>
        </w:rPr>
        <w:t>零部件及系统的防护等级试验按GB</w:t>
      </w:r>
      <w:r>
        <w:rPr>
          <w:rFonts w:hAnsi="宋体"/>
        </w:rPr>
        <w:t>/T</w:t>
      </w:r>
      <w:r>
        <w:rPr>
          <w:rFonts w:hint="eastAsia" w:hAnsi="宋体"/>
        </w:rPr>
        <w:t xml:space="preserve"> 4208—2008的试验条件进行</w:t>
      </w:r>
      <w:r>
        <w:rPr>
          <w:rFonts w:hint="eastAsia"/>
        </w:rPr>
        <w:t>：</w:t>
      </w:r>
    </w:p>
    <w:p>
      <w:pPr>
        <w:pStyle w:val="51"/>
        <w:ind w:left="426" w:firstLine="0"/>
      </w:pPr>
      <w:r>
        <w:rPr>
          <w:rFonts w:hint="eastAsia"/>
        </w:rPr>
        <w:t>与B级电压部件相连的连接器；</w:t>
      </w:r>
    </w:p>
    <w:p>
      <w:pPr>
        <w:pStyle w:val="51"/>
        <w:ind w:left="426" w:firstLine="0"/>
      </w:pPr>
      <w:r>
        <w:rPr>
          <w:rFonts w:hint="eastAsia"/>
        </w:rPr>
        <w:t>安装在车厢地板以下的B级电压电气设备；</w:t>
      </w:r>
    </w:p>
    <w:p>
      <w:pPr>
        <w:pStyle w:val="51"/>
        <w:ind w:left="426" w:firstLine="0"/>
      </w:pPr>
      <w:r>
        <w:rPr>
          <w:rFonts w:hint="eastAsia"/>
        </w:rPr>
        <w:t>安装在车顶且无防护装置的B级电压电气设备。</w:t>
      </w:r>
    </w:p>
    <w:p>
      <w:pPr>
        <w:pStyle w:val="45"/>
        <w:spacing w:before="156" w:after="156"/>
        <w:ind w:left="0"/>
      </w:pPr>
      <w:bookmarkStart w:id="72" w:name="_Toc452750829"/>
      <w:r>
        <w:rPr>
          <w:rFonts w:hint="eastAsia"/>
        </w:rPr>
        <w:t>防火性能</w:t>
      </w:r>
      <w:bookmarkEnd w:id="72"/>
    </w:p>
    <w:p>
      <w:pPr>
        <w:pStyle w:val="49"/>
        <w:spacing w:beforeLines="0" w:afterLines="0"/>
        <w:ind w:left="0"/>
        <w:rPr>
          <w:rFonts w:ascii="宋体" w:hAnsi="宋体" w:eastAsia="宋体"/>
        </w:rPr>
      </w:pPr>
      <w:r>
        <w:rPr>
          <w:rFonts w:hint="eastAsia" w:ascii="宋体" w:hAnsi="宋体" w:eastAsia="宋体"/>
        </w:rPr>
        <w:t>车身内饰材料的阻燃性能按</w:t>
      </w:r>
      <w:r>
        <w:rPr>
          <w:rFonts w:ascii="宋体" w:hAnsi="宋体" w:eastAsia="宋体"/>
        </w:rPr>
        <w:t xml:space="preserve"> GB 8410—2006 </w:t>
      </w:r>
      <w:r>
        <w:rPr>
          <w:rFonts w:hint="eastAsia" w:ascii="宋体" w:hAnsi="宋体" w:eastAsia="宋体"/>
        </w:rPr>
        <w:t>的方法试验，其水平燃烧速度应小于等于50mm/min。</w:t>
      </w:r>
    </w:p>
    <w:p>
      <w:pPr>
        <w:pStyle w:val="49"/>
        <w:spacing w:beforeLines="0" w:afterLines="0"/>
        <w:ind w:left="0"/>
        <w:rPr>
          <w:rFonts w:ascii="宋体" w:hAnsi="宋体" w:eastAsia="宋体"/>
        </w:rPr>
      </w:pPr>
      <w:r>
        <w:rPr>
          <w:rFonts w:hint="eastAsia" w:ascii="宋体" w:hAnsi="宋体" w:eastAsia="宋体"/>
        </w:rPr>
        <w:t>B级电压部件所用绝缘材料的阻燃性能应符合</w:t>
      </w:r>
      <w:r>
        <w:rPr>
          <w:rFonts w:ascii="宋体" w:hAnsi="宋体" w:eastAsia="宋体"/>
        </w:rPr>
        <w:t>GB/T 2408—2008</w:t>
      </w:r>
      <w:r>
        <w:rPr>
          <w:rFonts w:hint="eastAsia" w:ascii="宋体" w:hAnsi="宋体" w:eastAsia="宋体"/>
        </w:rPr>
        <w:t>规定的水平燃烧</w:t>
      </w:r>
      <w:r>
        <w:rPr>
          <w:rFonts w:ascii="宋体" w:hAnsi="宋体" w:eastAsia="宋体"/>
        </w:rPr>
        <w:t>HB</w:t>
      </w:r>
      <w:r>
        <w:rPr>
          <w:rFonts w:hint="eastAsia" w:ascii="宋体" w:hAnsi="宋体" w:eastAsia="宋体"/>
        </w:rPr>
        <w:t>级，垂直燃烧</w:t>
      </w:r>
      <w:r>
        <w:rPr>
          <w:rFonts w:ascii="宋体" w:hAnsi="宋体" w:eastAsia="宋体"/>
        </w:rPr>
        <w:t>V—0</w:t>
      </w:r>
      <w:r>
        <w:rPr>
          <w:rFonts w:hint="eastAsia" w:ascii="宋体" w:hAnsi="宋体" w:eastAsia="宋体"/>
        </w:rPr>
        <w:t>级。B级电压电缆防护用波纹管及热收缩双壁管的温度等级应不低于125℃，热收缩双壁管的性能应符合QC/T 29106—2014中附录B的要求,波纹管的性能应符合QC/T 29106—2014中附录D的要求。</w:t>
      </w:r>
    </w:p>
    <w:p>
      <w:pPr>
        <w:pStyle w:val="49"/>
        <w:tabs>
          <w:tab w:val="right" w:leader="dot" w:pos="0"/>
        </w:tabs>
        <w:spacing w:beforeLines="0" w:afterLines="0"/>
        <w:ind w:left="0"/>
      </w:pPr>
      <w:r>
        <w:rPr>
          <w:rFonts w:hint="eastAsia" w:ascii="宋体" w:hAnsi="宋体" w:eastAsia="宋体"/>
        </w:rPr>
        <w:t>可充电储能系统内应使用阻燃材料，阻燃材料的阻燃等级应达到GB/T 2408—2008表1规定的V—0级。可充电储能系统安装舱体与乘客舱之间应使用阻燃隔热材料隔离，阻燃隔热材料的燃烧性能应符合</w:t>
      </w:r>
      <w:r>
        <w:rPr>
          <w:rFonts w:ascii="宋体" w:hAnsi="宋体" w:eastAsia="宋体"/>
        </w:rPr>
        <w:t>GB/T 8624-2012中表1规定的B1级，并且</w:t>
      </w:r>
      <w:r>
        <w:rPr>
          <w:rFonts w:hint="eastAsia" w:ascii="宋体" w:hAnsi="宋体" w:eastAsia="宋体"/>
        </w:rPr>
        <w:t>按GB/T</w:t>
      </w:r>
      <w:r>
        <w:rPr>
          <w:rFonts w:ascii="宋体" w:hAnsi="宋体" w:eastAsia="宋体"/>
        </w:rPr>
        <w:t xml:space="preserve"> </w:t>
      </w:r>
      <w:r>
        <w:rPr>
          <w:rFonts w:hint="eastAsia" w:ascii="宋体" w:hAnsi="宋体" w:eastAsia="宋体"/>
        </w:rPr>
        <w:t>10297-2008进行试验，在300℃时导热系数应小于等于0.</w:t>
      </w:r>
      <w:r>
        <w:rPr>
          <w:rFonts w:ascii="宋体" w:hAnsi="宋体" w:eastAsia="宋体"/>
        </w:rPr>
        <w:t>0</w:t>
      </w:r>
      <w:r>
        <w:rPr>
          <w:rFonts w:hint="eastAsia" w:ascii="宋体" w:hAnsi="宋体" w:eastAsia="宋体"/>
        </w:rPr>
        <w:t>4</w:t>
      </w:r>
      <w:r>
        <w:rPr>
          <w:rFonts w:ascii="宋体" w:hAnsi="宋体" w:eastAsia="宋体"/>
        </w:rPr>
        <w:t>W</w:t>
      </w:r>
      <w:r>
        <w:rPr>
          <w:rFonts w:hint="eastAsia" w:ascii="宋体" w:hAnsi="宋体" w:eastAsia="宋体"/>
        </w:rPr>
        <w:t>/（m·K）。</w:t>
      </w:r>
    </w:p>
    <w:p>
      <w:pPr>
        <w:pStyle w:val="49"/>
        <w:spacing w:beforeLines="0" w:afterLines="0"/>
        <w:ind w:left="0"/>
        <w:rPr>
          <w:rFonts w:ascii="宋体" w:hAnsi="宋体" w:eastAsia="宋体"/>
        </w:rPr>
      </w:pPr>
      <w:r>
        <w:rPr>
          <w:rFonts w:hint="eastAsia" w:ascii="宋体" w:hAnsi="宋体" w:eastAsia="宋体"/>
        </w:rPr>
        <w:t>发动机舱（若有）及其它装有燃气/燃油加热器的舱内应配置温度报警系统，当温度高于设定值时发出警报。报警系统应在驾驶区给驾驶员提供声或光报警信号。</w:t>
      </w:r>
    </w:p>
    <w:p>
      <w:pPr>
        <w:pStyle w:val="49"/>
        <w:spacing w:beforeLines="0" w:afterLines="0"/>
        <w:ind w:left="0"/>
        <w:rPr>
          <w:rFonts w:ascii="宋体" w:hAnsi="宋体" w:eastAsia="宋体"/>
        </w:rPr>
      </w:pPr>
      <w:r>
        <w:rPr>
          <w:rFonts w:hint="eastAsia" w:ascii="宋体" w:hAnsi="宋体" w:eastAsia="宋体"/>
        </w:rPr>
        <w:t>可充电储能系统安装舱体内应配置火灾检测自动报警系统，报警系统应在驾驶区给驾驶员提供声或光报警信号。</w:t>
      </w:r>
    </w:p>
    <w:p>
      <w:pPr>
        <w:pStyle w:val="45"/>
        <w:spacing w:before="156" w:after="156"/>
        <w:ind w:left="0"/>
      </w:pPr>
      <w:bookmarkStart w:id="73" w:name="_Toc452750830"/>
      <w:r>
        <w:rPr>
          <w:rFonts w:hint="eastAsia"/>
        </w:rPr>
        <w:t>可充电储能系统</w:t>
      </w:r>
      <w:bookmarkEnd w:id="73"/>
    </w:p>
    <w:p>
      <w:pPr>
        <w:pStyle w:val="66"/>
      </w:pPr>
      <w:bookmarkStart w:id="74" w:name="_Toc450582989"/>
      <w:r>
        <w:rPr>
          <w:rFonts w:hint="eastAsia"/>
        </w:rPr>
        <w:t>蓄电池单元按照附录B的热失控测试条件进行试验，测试对象不应发生起火、爆炸。</w:t>
      </w:r>
    </w:p>
    <w:p>
      <w:pPr>
        <w:pStyle w:val="66"/>
      </w:pPr>
      <w:r>
        <w:rPr>
          <w:rFonts w:hint="eastAsia"/>
        </w:rPr>
        <w:t>蓄电池包按照附录C的热失控扩展测试条件进行试验，测试对象应满足表1中一级或二级安全要求。</w:t>
      </w:r>
    </w:p>
    <w:p>
      <w:pPr>
        <w:pStyle w:val="126"/>
        <w:tabs>
          <w:tab w:val="left" w:pos="360"/>
        </w:tabs>
        <w:spacing w:before="156" w:after="156"/>
        <w:ind w:left="0"/>
      </w:pPr>
      <w:r>
        <w:rPr>
          <w:rFonts w:hint="eastAsia"/>
        </w:rPr>
        <w:t>蓄电池包热失控扩展安全等级</w:t>
      </w:r>
    </w:p>
    <w:tbl>
      <w:tblPr>
        <w:tblStyle w:val="43"/>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101"/>
        <w:gridCol w:w="8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101" w:type="dxa"/>
            <w:vAlign w:val="center"/>
          </w:tcPr>
          <w:p>
            <w:pPr>
              <w:jc w:val="center"/>
              <w:rPr>
                <w:szCs w:val="48"/>
              </w:rPr>
            </w:pPr>
            <w:r>
              <w:rPr>
                <w:rFonts w:hint="eastAsia"/>
                <w:szCs w:val="48"/>
              </w:rPr>
              <w:t>一级</w:t>
            </w:r>
          </w:p>
        </w:tc>
        <w:tc>
          <w:tcPr>
            <w:tcW w:w="8363" w:type="dxa"/>
            <w:vAlign w:val="top"/>
          </w:tcPr>
          <w:p>
            <w:pPr>
              <w:rPr>
                <w:szCs w:val="48"/>
              </w:rPr>
            </w:pPr>
            <w:r>
              <w:rPr>
                <w:rFonts w:hint="eastAsia"/>
                <w:szCs w:val="48"/>
              </w:rPr>
              <w:t>蓄电池包未发生起火、爆炸且蓄电池包表面温度不超过</w:t>
            </w:r>
            <w:r>
              <w:rPr>
                <w:szCs w:val="48"/>
              </w:rPr>
              <w:t>150</w:t>
            </w:r>
            <w:r>
              <w:rPr>
                <w:rFonts w:hint="eastAsia"/>
                <w:szCs w:val="4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101" w:type="dxa"/>
            <w:vAlign w:val="center"/>
          </w:tcPr>
          <w:p>
            <w:pPr>
              <w:jc w:val="center"/>
              <w:rPr>
                <w:szCs w:val="48"/>
              </w:rPr>
            </w:pPr>
            <w:r>
              <w:rPr>
                <w:rFonts w:hint="eastAsia"/>
                <w:szCs w:val="48"/>
              </w:rPr>
              <w:t>二级</w:t>
            </w:r>
          </w:p>
        </w:tc>
        <w:tc>
          <w:tcPr>
            <w:tcW w:w="8363" w:type="dxa"/>
            <w:vAlign w:val="top"/>
          </w:tcPr>
          <w:p>
            <w:pPr>
              <w:rPr>
                <w:szCs w:val="48"/>
              </w:rPr>
            </w:pPr>
            <w:r>
              <w:rPr>
                <w:rFonts w:hint="eastAsia"/>
                <w:szCs w:val="48"/>
              </w:rPr>
              <w:t>蓄电池包未发生起火、爆炸，但蓄电池包表面温度超过150℃</w:t>
            </w:r>
            <w:r>
              <w:rPr>
                <w:szCs w:val="4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101" w:type="dxa"/>
            <w:vAlign w:val="center"/>
          </w:tcPr>
          <w:p>
            <w:pPr>
              <w:jc w:val="center"/>
              <w:rPr>
                <w:szCs w:val="48"/>
              </w:rPr>
            </w:pPr>
            <w:r>
              <w:rPr>
                <w:rFonts w:hint="eastAsia"/>
                <w:szCs w:val="48"/>
              </w:rPr>
              <w:t>三级</w:t>
            </w:r>
          </w:p>
        </w:tc>
        <w:tc>
          <w:tcPr>
            <w:tcW w:w="8363" w:type="dxa"/>
            <w:vAlign w:val="top"/>
          </w:tcPr>
          <w:p>
            <w:pPr>
              <w:rPr>
                <w:szCs w:val="48"/>
              </w:rPr>
            </w:pPr>
            <w:r>
              <w:rPr>
                <w:rFonts w:hint="eastAsia"/>
                <w:szCs w:val="48"/>
              </w:rPr>
              <w:t>蓄电池包发生起火燃烧，但未发生爆炸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101" w:type="dxa"/>
            <w:vAlign w:val="center"/>
          </w:tcPr>
          <w:p>
            <w:pPr>
              <w:jc w:val="center"/>
              <w:rPr>
                <w:szCs w:val="48"/>
              </w:rPr>
            </w:pPr>
            <w:r>
              <w:rPr>
                <w:rFonts w:hint="eastAsia"/>
                <w:szCs w:val="48"/>
              </w:rPr>
              <w:t>四级</w:t>
            </w:r>
          </w:p>
        </w:tc>
        <w:tc>
          <w:tcPr>
            <w:tcW w:w="8363" w:type="dxa"/>
            <w:vAlign w:val="top"/>
          </w:tcPr>
          <w:p>
            <w:pPr>
              <w:rPr>
                <w:szCs w:val="48"/>
              </w:rPr>
            </w:pPr>
            <w:r>
              <w:rPr>
                <w:rFonts w:hint="eastAsia"/>
                <w:szCs w:val="48"/>
              </w:rPr>
              <w:t>蓄电池包发生爆炸</w:t>
            </w:r>
          </w:p>
        </w:tc>
      </w:tr>
    </w:tbl>
    <w:p>
      <w:pPr>
        <w:pStyle w:val="66"/>
      </w:pPr>
      <w:r>
        <w:rPr>
          <w:rFonts w:hint="eastAsia"/>
        </w:rPr>
        <w:t>按照GB/T</w:t>
      </w:r>
      <w:r>
        <w:t xml:space="preserve"> </w:t>
      </w:r>
      <w:r>
        <w:rPr>
          <w:rFonts w:hint="eastAsia"/>
        </w:rPr>
        <w:t>31467.3-2015中7.1的要求，在电池包完成且通过的振动试验后，再将此电池包按照</w:t>
      </w:r>
      <w:r>
        <w:t>GB/T 31467.3</w:t>
      </w:r>
      <w:r>
        <w:rPr>
          <w:rFonts w:hint="eastAsia"/>
        </w:rPr>
        <w:t>-2015中</w:t>
      </w:r>
      <w:r>
        <w:t>7.9</w:t>
      </w:r>
      <w:r>
        <w:rPr>
          <w:rFonts w:hint="eastAsia"/>
        </w:rPr>
        <w:t>所述的海水浸泡测试方法进行试验，电池包应不起火、不爆炸。</w:t>
      </w:r>
    </w:p>
    <w:p>
      <w:pPr>
        <w:pStyle w:val="66"/>
      </w:pPr>
      <w:r>
        <w:rPr>
          <w:rFonts w:hint="eastAsia" w:ascii="宋体" w:hAnsi="宋体" w:eastAsia="宋体"/>
        </w:rPr>
        <w:t>可充电储能系统安装</w:t>
      </w:r>
      <w:r>
        <w:rPr>
          <w:rFonts w:hint="eastAsia"/>
        </w:rPr>
        <w:t>舱体应与乘客舱隔离(引风装置除外)，保证乘客不能触及到</w:t>
      </w:r>
      <w:r>
        <w:rPr>
          <w:rFonts w:hint="eastAsia" w:ascii="宋体" w:hAnsi="宋体" w:eastAsia="宋体"/>
        </w:rPr>
        <w:t>可充电储能系统</w:t>
      </w:r>
      <w:r>
        <w:rPr>
          <w:rFonts w:hint="eastAsia"/>
        </w:rPr>
        <w:t>。若从乘客舱引风为</w:t>
      </w:r>
      <w:r>
        <w:rPr>
          <w:rFonts w:hint="eastAsia" w:ascii="宋体" w:hAnsi="宋体" w:eastAsia="宋体"/>
        </w:rPr>
        <w:t>可充电储能系统</w:t>
      </w:r>
      <w:r>
        <w:rPr>
          <w:rFonts w:hint="eastAsia"/>
        </w:rPr>
        <w:t>调节温度，则引风口应配置烟雾控制装置，保证有害气体不能从进风口进入乘客舱。</w:t>
      </w:r>
    </w:p>
    <w:p>
      <w:pPr>
        <w:pStyle w:val="66"/>
      </w:pPr>
      <w:r>
        <w:rPr>
          <w:rFonts w:hint="eastAsia" w:ascii="宋体" w:hAnsi="宋体" w:eastAsia="宋体"/>
        </w:rPr>
        <w:t>可充电储能系统</w:t>
      </w:r>
      <w:r>
        <w:rPr>
          <w:rFonts w:hint="eastAsia"/>
        </w:rPr>
        <w:t>应安装断路器和熔断器。</w:t>
      </w:r>
    </w:p>
    <w:p>
      <w:pPr>
        <w:pStyle w:val="66"/>
        <w:rPr>
          <w:u w:val="thick"/>
        </w:rPr>
      </w:pPr>
      <w:r>
        <w:rPr>
          <w:rFonts w:hint="eastAsia" w:ascii="宋体" w:hAnsi="宋体" w:eastAsia="宋体"/>
        </w:rPr>
        <w:t>可充电储能系统</w:t>
      </w:r>
      <w:r>
        <w:rPr>
          <w:rFonts w:hint="eastAsia"/>
        </w:rPr>
        <w:t>单个蓄电池包电量应小于等于40kWh。</w:t>
      </w:r>
    </w:p>
    <w:bookmarkEnd w:id="74"/>
    <w:p>
      <w:pPr>
        <w:pStyle w:val="45"/>
        <w:spacing w:before="156" w:after="156"/>
        <w:ind w:left="0"/>
      </w:pPr>
      <w:bookmarkStart w:id="75" w:name="_Toc451604314"/>
      <w:bookmarkEnd w:id="75"/>
      <w:bookmarkStart w:id="76" w:name="_Toc451604315"/>
      <w:bookmarkEnd w:id="76"/>
      <w:bookmarkStart w:id="77" w:name="_Toc451604316"/>
      <w:bookmarkEnd w:id="77"/>
      <w:bookmarkStart w:id="78" w:name="_Toc451604317"/>
      <w:bookmarkEnd w:id="78"/>
      <w:bookmarkStart w:id="79" w:name="_Toc451604318"/>
      <w:bookmarkEnd w:id="79"/>
      <w:bookmarkStart w:id="80" w:name="_Toc451604319"/>
      <w:bookmarkEnd w:id="80"/>
      <w:bookmarkStart w:id="81" w:name="_Toc451604320"/>
      <w:bookmarkEnd w:id="81"/>
      <w:bookmarkStart w:id="82" w:name="_Toc451604321"/>
      <w:bookmarkEnd w:id="82"/>
      <w:bookmarkStart w:id="83" w:name="_Toc450582990"/>
      <w:bookmarkStart w:id="84" w:name="_Toc452750831"/>
      <w:r>
        <w:rPr>
          <w:rFonts w:hint="eastAsia"/>
        </w:rPr>
        <w:t>线束</w:t>
      </w:r>
      <w:bookmarkEnd w:id="83"/>
      <w:bookmarkEnd w:id="84"/>
    </w:p>
    <w:p>
      <w:pPr>
        <w:pStyle w:val="66"/>
      </w:pPr>
      <w:r>
        <w:rPr>
          <w:rFonts w:hint="eastAsia"/>
        </w:rPr>
        <w:t>连接B级电压部件的线束应符合QC/T 1037-2016中第4章的规定。</w:t>
      </w:r>
    </w:p>
    <w:p>
      <w:pPr>
        <w:pStyle w:val="66"/>
      </w:pPr>
      <w:r>
        <w:rPr>
          <w:rFonts w:hint="eastAsia"/>
        </w:rPr>
        <w:t>整车B级电压回路应至少设置一个过电流断开装置</w:t>
      </w:r>
      <w:bookmarkStart w:id="85" w:name="_Toc450582991"/>
      <w:r>
        <w:rPr>
          <w:rFonts w:hint="eastAsia"/>
        </w:rPr>
        <w:t>。</w:t>
      </w:r>
      <w:r>
        <w:t xml:space="preserve"> </w:t>
      </w:r>
    </w:p>
    <w:p>
      <w:pPr>
        <w:pStyle w:val="45"/>
        <w:spacing w:before="156" w:after="156"/>
        <w:ind w:left="0"/>
      </w:pPr>
      <w:bookmarkStart w:id="86" w:name="_Toc452750832"/>
      <w:r>
        <w:rPr>
          <w:rFonts w:hint="eastAsia"/>
        </w:rPr>
        <w:t>控制</w:t>
      </w:r>
      <w:bookmarkEnd w:id="85"/>
      <w:r>
        <w:rPr>
          <w:rFonts w:hint="eastAsia"/>
        </w:rPr>
        <w:t>系统</w:t>
      </w:r>
      <w:bookmarkEnd w:id="86"/>
    </w:p>
    <w:p>
      <w:pPr>
        <w:pStyle w:val="66"/>
        <w:numPr>
          <w:numId w:val="0"/>
        </w:numPr>
        <w:ind w:firstLine="420" w:firstLineChars="200"/>
      </w:pPr>
      <w:r>
        <w:rPr>
          <w:rFonts w:hint="eastAsia"/>
        </w:rPr>
        <w:t>整车控制系统应不输出跟驾驶意图不一致的驱动指令，当制动信号和加速信号同时发生时，应只响应制动信号。</w:t>
      </w:r>
    </w:p>
    <w:p>
      <w:pPr>
        <w:pStyle w:val="45"/>
        <w:spacing w:before="156" w:after="156"/>
        <w:ind w:left="0"/>
        <w:rPr>
          <w:rFonts w:hAnsi="黑体"/>
        </w:rPr>
      </w:pPr>
      <w:bookmarkStart w:id="87" w:name="_Toc452750833"/>
      <w:r>
        <w:rPr>
          <w:rFonts w:hint="eastAsia"/>
        </w:rPr>
        <w:t>车载终端和远程监控</w:t>
      </w:r>
      <w:bookmarkEnd w:id="87"/>
      <w:bookmarkStart w:id="88" w:name="_Toc451604324"/>
      <w:bookmarkEnd w:id="88"/>
      <w:bookmarkStart w:id="89" w:name="_Toc451604325"/>
      <w:bookmarkEnd w:id="89"/>
      <w:bookmarkStart w:id="90" w:name="_Toc451604326"/>
      <w:bookmarkEnd w:id="90"/>
      <w:bookmarkStart w:id="91" w:name="_Toc451604327"/>
      <w:bookmarkEnd w:id="91"/>
      <w:bookmarkStart w:id="92" w:name="_Toc451604328"/>
      <w:bookmarkEnd w:id="92"/>
      <w:bookmarkStart w:id="93" w:name="_Toc451604330"/>
      <w:bookmarkEnd w:id="93"/>
      <w:bookmarkStart w:id="94" w:name="_Toc451604331"/>
      <w:bookmarkEnd w:id="94"/>
      <w:bookmarkStart w:id="95" w:name="_Toc451604332"/>
      <w:bookmarkEnd w:id="95"/>
      <w:bookmarkStart w:id="96" w:name="_Toc451604333"/>
      <w:bookmarkEnd w:id="96"/>
      <w:bookmarkStart w:id="97" w:name="_Toc451604334"/>
      <w:bookmarkEnd w:id="97"/>
    </w:p>
    <w:p>
      <w:pPr>
        <w:pStyle w:val="49"/>
        <w:spacing w:beforeLines="0" w:afterLines="0"/>
        <w:ind w:left="0"/>
        <w:rPr>
          <w:rFonts w:ascii="宋体" w:hAnsi="宋体" w:eastAsia="宋体"/>
        </w:rPr>
      </w:pPr>
      <w:r>
        <w:rPr>
          <w:rFonts w:hint="eastAsia" w:ascii="宋体" w:hAnsi="宋体" w:eastAsia="宋体"/>
        </w:rPr>
        <w:t>车辆应安装符合有关国家标准要求的车载终端，并实现和监控平台实时通讯。</w:t>
      </w:r>
    </w:p>
    <w:p>
      <w:pPr>
        <w:pStyle w:val="49"/>
        <w:spacing w:beforeLines="0" w:afterLines="0"/>
        <w:ind w:left="0"/>
        <w:rPr>
          <w:rFonts w:ascii="宋体" w:hAnsi="宋体" w:eastAsia="宋体"/>
        </w:rPr>
      </w:pPr>
      <w:r>
        <w:rPr>
          <w:rFonts w:hint="eastAsia" w:ascii="宋体" w:hAnsi="宋体" w:eastAsia="宋体"/>
        </w:rPr>
        <w:t>车载终端内部存储介质容量应满足至少7天的内部数据存储，存储频率不低于1次/秒。当车载终端内部存储介质存储满时，应具备内部存储数据的自动覆盖功能,当车载终端断电停止工作时，应能完整保存断电前保存在内部介质中的数据不丢失，车载终端内部存储的数据应可查阅。</w:t>
      </w:r>
    </w:p>
    <w:p>
      <w:pPr>
        <w:pStyle w:val="49"/>
        <w:spacing w:beforeLines="0" w:afterLines="0"/>
        <w:ind w:left="0"/>
      </w:pPr>
      <w:r>
        <w:rPr>
          <w:rFonts w:hint="eastAsia" w:ascii="宋体" w:hAnsi="宋体" w:eastAsia="宋体"/>
        </w:rPr>
        <w:t>远程监控系统功能应符合附录D。</w:t>
      </w:r>
    </w:p>
    <w:p>
      <w:pPr>
        <w:pStyle w:val="45"/>
        <w:spacing w:before="156" w:after="156"/>
        <w:ind w:left="0"/>
      </w:pPr>
      <w:bookmarkStart w:id="98" w:name="_Toc451604336"/>
      <w:bookmarkEnd w:id="98"/>
      <w:bookmarkStart w:id="99" w:name="_Toc451604337"/>
      <w:bookmarkEnd w:id="99"/>
      <w:bookmarkStart w:id="100" w:name="_Toc451604338"/>
      <w:bookmarkEnd w:id="100"/>
      <w:bookmarkStart w:id="101" w:name="_Toc451604339"/>
      <w:bookmarkEnd w:id="101"/>
      <w:bookmarkStart w:id="102" w:name="_Toc451604340"/>
      <w:bookmarkEnd w:id="102"/>
      <w:bookmarkStart w:id="103" w:name="_Toc451604341"/>
      <w:bookmarkEnd w:id="103"/>
      <w:bookmarkStart w:id="104" w:name="_Toc451604342"/>
      <w:bookmarkEnd w:id="104"/>
      <w:bookmarkStart w:id="105" w:name="_Toc451604343"/>
      <w:bookmarkEnd w:id="105"/>
      <w:bookmarkStart w:id="106" w:name="_Toc451604344"/>
      <w:bookmarkEnd w:id="106"/>
      <w:bookmarkStart w:id="107" w:name="_Toc451604345"/>
      <w:bookmarkEnd w:id="107"/>
      <w:bookmarkStart w:id="108" w:name="_Toc450582995"/>
      <w:bookmarkStart w:id="109" w:name="_Toc452750834"/>
      <w:r>
        <w:rPr>
          <w:rFonts w:hint="eastAsia"/>
        </w:rPr>
        <w:t>充电安全</w:t>
      </w:r>
      <w:bookmarkEnd w:id="108"/>
      <w:bookmarkEnd w:id="109"/>
    </w:p>
    <w:p>
      <w:pPr>
        <w:pStyle w:val="49"/>
        <w:spacing w:beforeLines="0" w:afterLines="0"/>
        <w:ind w:left="0"/>
        <w:rPr>
          <w:rFonts w:ascii="宋体" w:hAnsi="宋体" w:eastAsia="宋体"/>
        </w:rPr>
      </w:pPr>
      <w:bookmarkStart w:id="110" w:name="_Toc450582092"/>
      <w:bookmarkStart w:id="111" w:name="_Toc450582270"/>
      <w:bookmarkStart w:id="112" w:name="_Toc450582365"/>
      <w:r>
        <w:rPr>
          <w:rFonts w:hint="eastAsia" w:ascii="宋体" w:hAnsi="宋体" w:eastAsia="宋体"/>
        </w:rPr>
        <w:t>整车具备多个充电接口时，充电时不工作的充电接口应不带电。</w:t>
      </w:r>
    </w:p>
    <w:p>
      <w:pPr>
        <w:pStyle w:val="49"/>
        <w:spacing w:beforeLines="0" w:afterLines="0"/>
        <w:ind w:left="0"/>
        <w:rPr>
          <w:rFonts w:ascii="宋体" w:hAnsi="宋体" w:eastAsia="宋体"/>
        </w:rPr>
      </w:pPr>
      <w:r>
        <w:rPr>
          <w:rFonts w:hint="eastAsia" w:ascii="宋体" w:hAnsi="宋体" w:eastAsia="宋体"/>
        </w:rPr>
        <w:t>车辆的充电插座应设置温度监控装置，该装置应能根据温度变化传送相应信号给充电机和车辆，用于实现车辆接口的温度监测和过温保护功能。</w:t>
      </w:r>
      <w:bookmarkEnd w:id="110"/>
      <w:bookmarkEnd w:id="111"/>
      <w:bookmarkEnd w:id="112"/>
      <w:bookmarkStart w:id="113" w:name="_Toc451604347"/>
      <w:bookmarkEnd w:id="113"/>
      <w:bookmarkStart w:id="114" w:name="_Toc451604348"/>
      <w:bookmarkEnd w:id="114"/>
      <w:bookmarkStart w:id="115" w:name="_Toc451604349"/>
      <w:bookmarkEnd w:id="115"/>
      <w:bookmarkStart w:id="116" w:name="_Toc451604350"/>
      <w:bookmarkEnd w:id="116"/>
      <w:bookmarkStart w:id="117" w:name="_Toc451604351"/>
      <w:bookmarkEnd w:id="117"/>
      <w:bookmarkStart w:id="118" w:name="_Toc451604352"/>
      <w:bookmarkEnd w:id="118"/>
      <w:bookmarkStart w:id="119" w:name="_Toc450582998"/>
    </w:p>
    <w:p>
      <w:pPr>
        <w:pStyle w:val="45"/>
        <w:spacing w:before="156" w:after="156"/>
        <w:ind w:left="0"/>
      </w:pPr>
      <w:bookmarkStart w:id="120" w:name="_Toc452750835"/>
      <w:r>
        <w:rPr>
          <w:rFonts w:hint="eastAsia"/>
        </w:rPr>
        <w:t>车辆碰撞</w:t>
      </w:r>
      <w:bookmarkEnd w:id="119"/>
      <w:r>
        <w:rPr>
          <w:rFonts w:hint="eastAsia"/>
        </w:rPr>
        <w:t>防护要求</w:t>
      </w:r>
      <w:bookmarkEnd w:id="120"/>
    </w:p>
    <w:p>
      <w:pPr>
        <w:pStyle w:val="49"/>
        <w:spacing w:beforeLines="0" w:afterLines="0"/>
        <w:ind w:left="0"/>
      </w:pPr>
      <w:bookmarkStart w:id="121" w:name="_Toc451156682"/>
      <w:r>
        <w:rPr>
          <w:rFonts w:hint="eastAsia" w:ascii="宋体" w:hAnsi="宋体" w:eastAsia="宋体"/>
        </w:rPr>
        <w:t>可充电储能系统安装后，其外围距离车辆前端面应大于等于</w:t>
      </w:r>
      <w:r>
        <w:rPr>
          <w:rFonts w:ascii="宋体" w:hAnsi="宋体" w:eastAsia="宋体"/>
        </w:rPr>
        <w:t>4</w:t>
      </w:r>
      <w:r>
        <w:rPr>
          <w:rFonts w:hint="eastAsia" w:ascii="宋体" w:hAnsi="宋体" w:eastAsia="宋体"/>
        </w:rPr>
        <w:t>0</w:t>
      </w:r>
      <w:r>
        <w:rPr>
          <w:rFonts w:ascii="宋体" w:hAnsi="宋体" w:eastAsia="宋体"/>
        </w:rPr>
        <w:t>0mm，距离车辆后端面应大于等于</w:t>
      </w:r>
      <w:r>
        <w:rPr>
          <w:rFonts w:hint="eastAsia" w:ascii="宋体" w:hAnsi="宋体" w:eastAsia="宋体"/>
        </w:rPr>
        <w:t>2</w:t>
      </w:r>
      <w:r>
        <w:rPr>
          <w:rFonts w:ascii="宋体" w:hAnsi="宋体" w:eastAsia="宋体"/>
        </w:rPr>
        <w:t>00 mm，</w:t>
      </w:r>
      <w:r>
        <w:rPr>
          <w:rFonts w:hint="eastAsia" w:ascii="宋体" w:hAnsi="宋体" w:eastAsia="宋体"/>
        </w:rPr>
        <w:t>距车辆左右侧围外表面应大于等于50</w:t>
      </w:r>
      <w:r>
        <w:rPr>
          <w:rFonts w:ascii="宋体" w:hAnsi="宋体" w:eastAsia="宋体"/>
        </w:rPr>
        <w:t>mm。可充电储能系统安装舱体应提供能有效防止直接的机械碰撞和路面碎石伤害的防护措施，该防护措施可以为防护栏、保险杠、隔板、护罩等。</w:t>
      </w:r>
    </w:p>
    <w:p>
      <w:pPr>
        <w:pStyle w:val="49"/>
        <w:spacing w:beforeLines="0" w:afterLines="0"/>
        <w:ind w:left="0"/>
      </w:pPr>
      <w:r>
        <w:rPr>
          <w:rFonts w:ascii="宋体" w:hAnsi="宋体" w:eastAsia="宋体"/>
        </w:rPr>
        <w:t>若车辆顶部</w:t>
      </w:r>
      <w:r>
        <w:rPr>
          <w:rFonts w:hint="eastAsia" w:ascii="宋体" w:hAnsi="宋体" w:eastAsia="宋体"/>
        </w:rPr>
        <w:t>安装有可充电储能系统</w:t>
      </w:r>
      <w:r>
        <w:rPr>
          <w:rFonts w:ascii="宋体" w:hAnsi="宋体" w:eastAsia="宋体"/>
        </w:rPr>
        <w:t>，则</w:t>
      </w:r>
      <w:r>
        <w:rPr>
          <w:rFonts w:hint="eastAsia" w:ascii="宋体" w:hAnsi="宋体" w:eastAsia="宋体"/>
        </w:rPr>
        <w:t>应</w:t>
      </w:r>
      <w:r>
        <w:rPr>
          <w:rFonts w:ascii="宋体" w:hAnsi="宋体" w:eastAsia="宋体"/>
        </w:rPr>
        <w:t>按照GB 244</w:t>
      </w:r>
      <w:r>
        <w:rPr>
          <w:rFonts w:hint="eastAsia" w:ascii="宋体" w:hAnsi="宋体" w:eastAsia="宋体"/>
        </w:rPr>
        <w:t>0</w:t>
      </w:r>
      <w:r>
        <w:rPr>
          <w:rFonts w:ascii="宋体" w:hAnsi="宋体" w:eastAsia="宋体"/>
        </w:rPr>
        <w:t>7-2012附录A</w:t>
      </w:r>
      <w:r>
        <w:rPr>
          <w:rFonts w:hint="eastAsia" w:ascii="宋体" w:hAnsi="宋体" w:eastAsia="宋体"/>
        </w:rPr>
        <w:t>进行顶</w:t>
      </w:r>
      <w:r>
        <w:rPr>
          <w:rFonts w:ascii="宋体" w:hAnsi="宋体" w:eastAsia="宋体"/>
        </w:rPr>
        <w:t>压试验。</w:t>
      </w:r>
    </w:p>
    <w:p>
      <w:pPr>
        <w:pStyle w:val="49"/>
        <w:spacing w:beforeLines="0" w:afterLines="0"/>
        <w:ind w:left="0"/>
      </w:pPr>
      <w:r>
        <w:rPr>
          <w:rFonts w:hint="eastAsia" w:ascii="宋体" w:hAnsi="宋体" w:eastAsia="宋体"/>
        </w:rPr>
        <w:t>若有可充电储能系统未安装在车辆顶部，且其位置不符合</w:t>
      </w:r>
      <w:r>
        <w:rPr>
          <w:rFonts w:ascii="宋体" w:hAnsi="宋体" w:eastAsia="宋体"/>
        </w:rPr>
        <w:t>4.</w:t>
      </w:r>
      <w:r>
        <w:rPr>
          <w:rFonts w:hint="eastAsia" w:ascii="宋体" w:hAnsi="宋体" w:eastAsia="宋体"/>
        </w:rPr>
        <w:t>9</w:t>
      </w:r>
      <w:r>
        <w:rPr>
          <w:rFonts w:ascii="宋体" w:hAnsi="宋体" w:eastAsia="宋体"/>
        </w:rPr>
        <w:t>.</w:t>
      </w:r>
      <w:r>
        <w:rPr>
          <w:rFonts w:hint="eastAsia" w:ascii="宋体" w:hAnsi="宋体" w:eastAsia="宋体"/>
        </w:rPr>
        <w:t>1</w:t>
      </w:r>
      <w:r>
        <w:rPr>
          <w:rFonts w:ascii="宋体" w:hAnsi="宋体" w:eastAsia="宋体"/>
        </w:rPr>
        <w:t>要求，则</w:t>
      </w:r>
      <w:r>
        <w:rPr>
          <w:rFonts w:hint="eastAsia" w:ascii="宋体" w:hAnsi="宋体" w:eastAsia="宋体"/>
        </w:rPr>
        <w:t>应</w:t>
      </w:r>
      <w:r>
        <w:rPr>
          <w:rFonts w:ascii="宋体" w:hAnsi="宋体" w:eastAsia="宋体"/>
        </w:rPr>
        <w:t>按照附录</w:t>
      </w:r>
      <w:r>
        <w:rPr>
          <w:rFonts w:hint="eastAsia" w:ascii="宋体" w:hAnsi="宋体" w:eastAsia="宋体"/>
        </w:rPr>
        <w:t>E进行</w:t>
      </w:r>
      <w:r>
        <w:rPr>
          <w:rFonts w:ascii="宋体" w:hAnsi="宋体" w:eastAsia="宋体"/>
        </w:rPr>
        <w:t>碰撞试验</w:t>
      </w:r>
      <w:r>
        <w:rPr>
          <w:rFonts w:hint="eastAsia" w:ascii="宋体" w:hAnsi="宋体" w:eastAsia="宋体"/>
        </w:rPr>
        <w:t>。</w:t>
      </w:r>
    </w:p>
    <w:p>
      <w:pPr>
        <w:pStyle w:val="49"/>
        <w:spacing w:beforeLines="0" w:afterLines="0"/>
        <w:ind w:left="0"/>
      </w:pPr>
      <w:r>
        <w:rPr>
          <w:rFonts w:ascii="宋体" w:hAnsi="宋体" w:eastAsia="宋体"/>
        </w:rPr>
        <w:t>车辆</w:t>
      </w:r>
      <w:r>
        <w:rPr>
          <w:rFonts w:hint="eastAsia" w:ascii="宋体" w:hAnsi="宋体" w:eastAsia="宋体"/>
        </w:rPr>
        <w:t>在</w:t>
      </w:r>
      <w:r>
        <w:rPr>
          <w:rFonts w:ascii="宋体" w:hAnsi="宋体" w:eastAsia="宋体"/>
        </w:rPr>
        <w:t>碰撞和顶压</w:t>
      </w:r>
      <w:r>
        <w:rPr>
          <w:rFonts w:hint="eastAsia" w:ascii="宋体" w:hAnsi="宋体" w:eastAsia="宋体"/>
        </w:rPr>
        <w:t>试验后</w:t>
      </w:r>
      <w:r>
        <w:rPr>
          <w:rFonts w:ascii="宋体" w:hAnsi="宋体" w:eastAsia="宋体"/>
        </w:rPr>
        <w:t>应符合GB/T 31498中4.2</w:t>
      </w:r>
      <w:r>
        <w:rPr>
          <w:rFonts w:hint="eastAsia" w:ascii="宋体" w:hAnsi="宋体" w:eastAsia="宋体"/>
        </w:rPr>
        <w:t>～</w:t>
      </w:r>
      <w:r>
        <w:rPr>
          <w:rFonts w:ascii="宋体" w:hAnsi="宋体" w:eastAsia="宋体"/>
        </w:rPr>
        <w:t>4.4</w:t>
      </w:r>
      <w:r>
        <w:rPr>
          <w:rFonts w:hint="eastAsia" w:ascii="宋体" w:hAnsi="宋体" w:eastAsia="宋体"/>
        </w:rPr>
        <w:t>的</w:t>
      </w:r>
      <w:r>
        <w:rPr>
          <w:rFonts w:ascii="宋体" w:hAnsi="宋体" w:eastAsia="宋体"/>
        </w:rPr>
        <w:t>要求</w:t>
      </w:r>
      <w:r>
        <w:rPr>
          <w:rFonts w:hint="eastAsia" w:ascii="宋体" w:hAnsi="宋体" w:eastAsia="宋体"/>
        </w:rPr>
        <w:t>。</w:t>
      </w:r>
    </w:p>
    <w:p>
      <w:pPr>
        <w:pStyle w:val="45"/>
        <w:spacing w:before="156" w:after="156"/>
        <w:ind w:left="0"/>
        <w:rPr>
          <w:rFonts w:ascii="宋体" w:hAnsi="宋体" w:eastAsia="宋体"/>
        </w:rPr>
      </w:pPr>
      <w:bookmarkStart w:id="122" w:name="_Toc452750836"/>
      <w:r>
        <w:rPr>
          <w:rFonts w:hint="eastAsia" w:ascii="宋体" w:hAnsi="宋体" w:eastAsia="宋体"/>
        </w:rPr>
        <w:t>整车</w:t>
      </w:r>
      <w:bookmarkEnd w:id="121"/>
      <w:bookmarkEnd w:id="122"/>
    </w:p>
    <w:p>
      <w:pPr>
        <w:pStyle w:val="49"/>
        <w:spacing w:beforeLines="0" w:afterLines="0"/>
        <w:ind w:left="0"/>
        <w:rPr>
          <w:rFonts w:ascii="宋体" w:hAnsi="宋体" w:eastAsia="宋体"/>
        </w:rPr>
      </w:pPr>
      <w:r>
        <w:rPr>
          <w:rFonts w:hint="eastAsia" w:ascii="宋体" w:hAnsi="宋体" w:eastAsia="宋体"/>
        </w:rPr>
        <w:t>整车应为全承载整体式骨架结构。</w:t>
      </w:r>
    </w:p>
    <w:p>
      <w:pPr>
        <w:pStyle w:val="49"/>
        <w:spacing w:beforeLines="0" w:afterLines="0"/>
        <w:ind w:left="0"/>
        <w:rPr>
          <w:rFonts w:ascii="宋体" w:hAnsi="宋体" w:eastAsia="宋体"/>
        </w:rPr>
      </w:pPr>
      <w:r>
        <w:rPr>
          <w:rFonts w:hint="eastAsia" w:ascii="宋体" w:hAnsi="宋体" w:eastAsia="宋体"/>
        </w:rPr>
        <w:t>每个分隔舱的出口最少数量应符合表2的规定。但卫生间或烹调间不视为分隔舱。不论撤离舱口数量有多少，只能计为一个应急出口。</w:t>
      </w:r>
    </w:p>
    <w:p>
      <w:pPr>
        <w:pStyle w:val="126"/>
        <w:tabs>
          <w:tab w:val="left" w:pos="360"/>
        </w:tabs>
        <w:spacing w:before="156" w:after="156"/>
        <w:ind w:left="0"/>
        <w:rPr>
          <w:rFonts w:ascii="宋体" w:hAnsi="宋体" w:eastAsia="宋体"/>
        </w:rPr>
      </w:pPr>
      <w:r>
        <w:rPr>
          <w:rFonts w:hint="eastAsia" w:ascii="宋体" w:hAnsi="宋体" w:eastAsia="宋体"/>
        </w:rPr>
        <w:t>出口的最少数量</w:t>
      </w:r>
    </w:p>
    <w:tbl>
      <w:tblPr>
        <w:tblStyle w:val="43"/>
        <w:tblW w:w="9356"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204"/>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7" w:hRule="atLeast"/>
        </w:trPr>
        <w:tc>
          <w:tcPr>
            <w:tcW w:w="6204" w:type="dxa"/>
            <w:vAlign w:val="top"/>
          </w:tcPr>
          <w:p>
            <w:pPr>
              <w:jc w:val="center"/>
              <w:rPr>
                <w:rFonts w:ascii="宋体" w:hAnsi="宋体"/>
              </w:rPr>
            </w:pPr>
            <w:r>
              <w:rPr>
                <w:rFonts w:hint="eastAsia" w:ascii="宋体" w:hAnsi="宋体"/>
              </w:rPr>
              <w:t>乘客及车组人员的数量（个）</w:t>
            </w:r>
          </w:p>
        </w:tc>
        <w:tc>
          <w:tcPr>
            <w:tcW w:w="3152" w:type="dxa"/>
            <w:vAlign w:val="top"/>
          </w:tcPr>
          <w:p>
            <w:pPr>
              <w:jc w:val="center"/>
              <w:rPr>
                <w:rFonts w:ascii="宋体" w:hAnsi="宋体"/>
              </w:rPr>
            </w:pPr>
            <w:r>
              <w:rPr>
                <w:rFonts w:hint="eastAsia" w:ascii="宋体" w:hAnsi="宋体"/>
              </w:rPr>
              <w:t>出口的最少数量（个）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5" w:hRule="atLeast"/>
        </w:trPr>
        <w:tc>
          <w:tcPr>
            <w:tcW w:w="6204" w:type="dxa"/>
            <w:vAlign w:val="top"/>
          </w:tcPr>
          <w:p>
            <w:pPr>
              <w:jc w:val="center"/>
              <w:rPr>
                <w:rFonts w:ascii="宋体" w:hAnsi="宋体"/>
              </w:rPr>
            </w:pPr>
            <w:r>
              <w:rPr>
                <w:rFonts w:hint="eastAsia" w:ascii="宋体" w:hAnsi="宋体"/>
              </w:rPr>
              <w:t>1～8</w:t>
            </w:r>
          </w:p>
        </w:tc>
        <w:tc>
          <w:tcPr>
            <w:tcW w:w="3152" w:type="dxa"/>
            <w:vAlign w:val="top"/>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6" w:hRule="atLeast"/>
        </w:trPr>
        <w:tc>
          <w:tcPr>
            <w:tcW w:w="6204" w:type="dxa"/>
            <w:vAlign w:val="top"/>
          </w:tcPr>
          <w:p>
            <w:pPr>
              <w:jc w:val="center"/>
              <w:rPr>
                <w:rFonts w:ascii="宋体" w:hAnsi="宋体"/>
              </w:rPr>
            </w:pPr>
            <w:r>
              <w:rPr>
                <w:rFonts w:hint="eastAsia" w:ascii="宋体" w:hAnsi="宋体"/>
              </w:rPr>
              <w:t>9～16</w:t>
            </w:r>
          </w:p>
        </w:tc>
        <w:tc>
          <w:tcPr>
            <w:tcW w:w="3152" w:type="dxa"/>
            <w:vAlign w:val="top"/>
          </w:tcPr>
          <w:p>
            <w:pPr>
              <w:jc w:val="center"/>
              <w:rPr>
                <w:rFonts w:ascii="宋体" w:hAnsi="宋体"/>
              </w:rPr>
            </w:pPr>
            <w:r>
              <w:rPr>
                <w:rFonts w:hint="eastAsia" w:ascii="宋体" w:hAnsi="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7" w:hRule="atLeast"/>
        </w:trPr>
        <w:tc>
          <w:tcPr>
            <w:tcW w:w="6204" w:type="dxa"/>
            <w:vAlign w:val="top"/>
          </w:tcPr>
          <w:p>
            <w:pPr>
              <w:jc w:val="center"/>
              <w:rPr>
                <w:rFonts w:ascii="宋体" w:hAnsi="宋体"/>
              </w:rPr>
            </w:pPr>
            <w:r>
              <w:rPr>
                <w:rFonts w:hint="eastAsia" w:ascii="宋体" w:hAnsi="宋体"/>
              </w:rPr>
              <w:t>17～30</w:t>
            </w:r>
          </w:p>
        </w:tc>
        <w:tc>
          <w:tcPr>
            <w:tcW w:w="3152" w:type="dxa"/>
            <w:vAlign w:val="top"/>
          </w:tcPr>
          <w:p>
            <w:pPr>
              <w:jc w:val="center"/>
              <w:rPr>
                <w:rFonts w:ascii="宋体" w:hAnsi="宋体"/>
              </w:rPr>
            </w:pPr>
            <w:r>
              <w:rPr>
                <w:rFonts w:hint="eastAsia" w:ascii="宋体" w:hAnsi="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6" w:hRule="atLeast"/>
        </w:trPr>
        <w:tc>
          <w:tcPr>
            <w:tcW w:w="6204" w:type="dxa"/>
            <w:vAlign w:val="top"/>
          </w:tcPr>
          <w:p>
            <w:pPr>
              <w:jc w:val="center"/>
              <w:rPr>
                <w:rFonts w:ascii="宋体" w:hAnsi="宋体"/>
              </w:rPr>
            </w:pPr>
            <w:r>
              <w:rPr>
                <w:rFonts w:hint="eastAsia" w:ascii="宋体" w:hAnsi="宋体"/>
              </w:rPr>
              <w:t>31～45</w:t>
            </w:r>
          </w:p>
        </w:tc>
        <w:tc>
          <w:tcPr>
            <w:tcW w:w="3152" w:type="dxa"/>
            <w:vAlign w:val="top"/>
          </w:tcPr>
          <w:p>
            <w:pPr>
              <w:jc w:val="center"/>
              <w:rPr>
                <w:rFonts w:ascii="宋体" w:hAnsi="宋体"/>
              </w:rPr>
            </w:pPr>
            <w:r>
              <w:rPr>
                <w:rFonts w:hint="eastAsia" w:ascii="宋体" w:hAnsi="宋体"/>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7" w:hRule="atLeast"/>
        </w:trPr>
        <w:tc>
          <w:tcPr>
            <w:tcW w:w="6204" w:type="dxa"/>
            <w:vAlign w:val="top"/>
          </w:tcPr>
          <w:p>
            <w:pPr>
              <w:jc w:val="center"/>
              <w:rPr>
                <w:rFonts w:ascii="宋体" w:hAnsi="宋体"/>
              </w:rPr>
            </w:pPr>
            <w:r>
              <w:rPr>
                <w:rFonts w:hint="eastAsia" w:ascii="宋体" w:hAnsi="宋体"/>
              </w:rPr>
              <w:t>46～60</w:t>
            </w:r>
          </w:p>
        </w:tc>
        <w:tc>
          <w:tcPr>
            <w:tcW w:w="3152" w:type="dxa"/>
            <w:vAlign w:val="top"/>
          </w:tcPr>
          <w:p>
            <w:pPr>
              <w:jc w:val="center"/>
              <w:rPr>
                <w:rFonts w:ascii="宋体" w:hAnsi="宋体"/>
              </w:rPr>
            </w:pPr>
            <w:r>
              <w:rPr>
                <w:rFonts w:hint="eastAsia" w:ascii="宋体" w:hAnsi="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7" w:hRule="atLeast"/>
        </w:trPr>
        <w:tc>
          <w:tcPr>
            <w:tcW w:w="6204" w:type="dxa"/>
            <w:vAlign w:val="top"/>
          </w:tcPr>
          <w:p>
            <w:pPr>
              <w:jc w:val="center"/>
              <w:rPr>
                <w:rFonts w:ascii="宋体" w:hAnsi="宋体"/>
              </w:rPr>
            </w:pPr>
            <w:r>
              <w:rPr>
                <w:rFonts w:hint="eastAsia" w:ascii="宋体" w:hAnsi="宋体"/>
              </w:rPr>
              <w:t>61～75</w:t>
            </w:r>
          </w:p>
        </w:tc>
        <w:tc>
          <w:tcPr>
            <w:tcW w:w="3152" w:type="dxa"/>
            <w:vAlign w:val="top"/>
          </w:tcPr>
          <w:p>
            <w:pPr>
              <w:jc w:val="center"/>
              <w:rPr>
                <w:rFonts w:ascii="宋体" w:hAnsi="宋体"/>
              </w:rPr>
            </w:pPr>
            <w:r>
              <w:rPr>
                <w:rFonts w:hint="eastAsia" w:ascii="宋体" w:hAnsi="宋体"/>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6" w:hRule="atLeast"/>
        </w:trPr>
        <w:tc>
          <w:tcPr>
            <w:tcW w:w="6204" w:type="dxa"/>
            <w:vAlign w:val="top"/>
          </w:tcPr>
          <w:p>
            <w:pPr>
              <w:jc w:val="center"/>
              <w:rPr>
                <w:rFonts w:ascii="宋体" w:hAnsi="宋体"/>
              </w:rPr>
            </w:pPr>
            <w:r>
              <w:rPr>
                <w:rFonts w:hint="eastAsia" w:ascii="宋体" w:hAnsi="宋体"/>
              </w:rPr>
              <w:t>76～90</w:t>
            </w:r>
          </w:p>
        </w:tc>
        <w:tc>
          <w:tcPr>
            <w:tcW w:w="3152" w:type="dxa"/>
            <w:vAlign w:val="top"/>
          </w:tcPr>
          <w:p>
            <w:pPr>
              <w:jc w:val="center"/>
              <w:rPr>
                <w:rFonts w:ascii="宋体" w:hAnsi="宋体"/>
              </w:rPr>
            </w:pPr>
            <w:r>
              <w:rPr>
                <w:rFonts w:hint="eastAsia" w:ascii="宋体" w:hAnsi="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7" w:hRule="atLeast"/>
        </w:trPr>
        <w:tc>
          <w:tcPr>
            <w:tcW w:w="6204" w:type="dxa"/>
            <w:vAlign w:val="top"/>
          </w:tcPr>
          <w:p>
            <w:pPr>
              <w:jc w:val="center"/>
              <w:rPr>
                <w:rFonts w:ascii="宋体" w:hAnsi="宋体"/>
              </w:rPr>
            </w:pPr>
            <w:r>
              <w:rPr>
                <w:rFonts w:hint="eastAsia" w:ascii="宋体" w:hAnsi="宋体"/>
              </w:rPr>
              <w:t>91～110</w:t>
            </w:r>
          </w:p>
        </w:tc>
        <w:tc>
          <w:tcPr>
            <w:tcW w:w="3152" w:type="dxa"/>
            <w:vAlign w:val="top"/>
          </w:tcPr>
          <w:p>
            <w:pPr>
              <w:jc w:val="center"/>
              <w:rPr>
                <w:rFonts w:ascii="宋体" w:hAnsi="宋体"/>
              </w:rPr>
            </w:pPr>
            <w:r>
              <w:rPr>
                <w:rFonts w:hint="eastAsia" w:ascii="宋体" w:hAnsi="宋体"/>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6" w:hRule="atLeast"/>
        </w:trPr>
        <w:tc>
          <w:tcPr>
            <w:tcW w:w="6204" w:type="dxa"/>
            <w:vAlign w:val="top"/>
          </w:tcPr>
          <w:p>
            <w:pPr>
              <w:jc w:val="center"/>
              <w:rPr>
                <w:rFonts w:ascii="宋体" w:hAnsi="宋体"/>
              </w:rPr>
            </w:pPr>
            <w:r>
              <w:rPr>
                <w:rFonts w:hint="eastAsia" w:ascii="宋体" w:hAnsi="宋体"/>
              </w:rPr>
              <w:t>111～130</w:t>
            </w:r>
          </w:p>
        </w:tc>
        <w:tc>
          <w:tcPr>
            <w:tcW w:w="3152" w:type="dxa"/>
            <w:vAlign w:val="top"/>
          </w:tcPr>
          <w:p>
            <w:pPr>
              <w:jc w:val="center"/>
              <w:rPr>
                <w:rFonts w:ascii="宋体" w:hAnsi="宋体"/>
              </w:rPr>
            </w:pPr>
            <w:r>
              <w:rPr>
                <w:rFonts w:hint="eastAsia" w:ascii="宋体" w:hAnsi="宋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9" w:hRule="atLeast"/>
        </w:trPr>
        <w:tc>
          <w:tcPr>
            <w:tcW w:w="6204" w:type="dxa"/>
            <w:vAlign w:val="top"/>
          </w:tcPr>
          <w:p>
            <w:pPr>
              <w:jc w:val="center"/>
              <w:rPr>
                <w:rFonts w:ascii="宋体" w:hAnsi="宋体"/>
              </w:rPr>
            </w:pPr>
            <w:r>
              <w:rPr>
                <w:rFonts w:hint="eastAsia" w:ascii="宋体" w:hAnsi="宋体"/>
              </w:rPr>
              <w:t>＞130</w:t>
            </w:r>
          </w:p>
        </w:tc>
        <w:tc>
          <w:tcPr>
            <w:tcW w:w="3152" w:type="dxa"/>
            <w:vAlign w:val="top"/>
          </w:tcPr>
          <w:p>
            <w:pPr>
              <w:jc w:val="center"/>
              <w:rPr>
                <w:rFonts w:ascii="宋体" w:hAnsi="宋体"/>
              </w:rPr>
            </w:pPr>
            <w:r>
              <w:rPr>
                <w:rFonts w:hint="eastAsia" w:ascii="宋体" w:hAnsi="宋体"/>
              </w:rPr>
              <w:t>13</w:t>
            </w:r>
          </w:p>
        </w:tc>
      </w:tr>
    </w:tbl>
    <w:p>
      <w:pPr>
        <w:pStyle w:val="49"/>
        <w:spacing w:beforeLines="0" w:afterLines="0"/>
        <w:ind w:left="0"/>
        <w:rPr>
          <w:rFonts w:ascii="宋体" w:hAnsi="宋体" w:eastAsia="宋体"/>
        </w:rPr>
      </w:pPr>
      <w:r>
        <w:rPr>
          <w:rFonts w:hint="eastAsia" w:ascii="宋体" w:hAnsi="宋体" w:eastAsia="宋体"/>
        </w:rPr>
        <w:t>在确定出口的最小数量和位置时，铰接客车的每一刚性段应视为一个单车。铰接段之间的连接通道不视为出口。车辆处于直行状态，通过连接两个刚性段的铰链水平轴，并与客车纵轴相垂直的平面应视为两个刚性段的边界。</w:t>
      </w:r>
    </w:p>
    <w:p>
      <w:pPr>
        <w:pStyle w:val="49"/>
        <w:spacing w:beforeLines="0" w:afterLines="0"/>
        <w:ind w:left="0"/>
        <w:rPr>
          <w:rFonts w:ascii="宋体" w:hAnsi="宋体" w:eastAsia="宋体"/>
        </w:rPr>
      </w:pPr>
      <w:r>
        <w:rPr>
          <w:rFonts w:hint="eastAsia" w:ascii="宋体" w:hAnsi="宋体" w:eastAsia="宋体"/>
        </w:rPr>
        <w:t>撤离舱口距可能给使用撤离舱口的乘客带来危险的设备（如B级电压系统等）应大于等于 100mm，否则应加以隔离。</w:t>
      </w:r>
    </w:p>
    <w:p>
      <w:pPr>
        <w:pStyle w:val="49"/>
        <w:spacing w:beforeLines="0" w:afterLines="0"/>
        <w:ind w:left="0"/>
        <w:rPr>
          <w:rFonts w:ascii="宋体" w:hAnsi="宋体" w:eastAsia="宋体"/>
        </w:rPr>
      </w:pPr>
      <w:r>
        <w:rPr>
          <w:rFonts w:hint="eastAsia" w:ascii="宋体" w:hAnsi="宋体" w:eastAsia="宋体"/>
        </w:rPr>
        <w:t>操作乘客门应急控制器 8s 内应使乘客门自动打开或用手轻易打开到相应的乘客门引道量规能通过的宽度。</w:t>
      </w:r>
      <w:bookmarkStart w:id="123" w:name="_Toc451156681"/>
    </w:p>
    <w:p>
      <w:pPr>
        <w:pStyle w:val="49"/>
        <w:spacing w:beforeLines="0" w:afterLines="0"/>
        <w:ind w:left="0"/>
        <w:rPr>
          <w:rFonts w:ascii="宋体" w:hAnsi="宋体" w:eastAsia="宋体"/>
        </w:rPr>
      </w:pPr>
      <w:r>
        <w:rPr>
          <w:rFonts w:hint="eastAsia" w:ascii="宋体" w:hAnsi="宋体" w:eastAsia="宋体"/>
        </w:rPr>
        <w:t>电动客车应采用动力转向系统。</w:t>
      </w:r>
    </w:p>
    <w:p>
      <w:pPr>
        <w:pStyle w:val="49"/>
        <w:spacing w:beforeLines="0" w:afterLines="0"/>
        <w:ind w:left="0"/>
        <w:rPr>
          <w:rFonts w:ascii="宋体" w:eastAsia="宋体"/>
          <w:szCs w:val="20"/>
        </w:rPr>
      </w:pPr>
      <w:r>
        <w:rPr>
          <w:rFonts w:hint="eastAsia" w:ascii="宋体" w:hAnsi="宋体" w:eastAsia="宋体"/>
        </w:rPr>
        <w:t>前风窗应安装除霜、除雾装置。</w:t>
      </w:r>
    </w:p>
    <w:bookmarkEnd w:id="123"/>
    <w:p>
      <w:pPr>
        <w:pStyle w:val="48"/>
        <w:spacing w:before="312" w:after="312"/>
        <w:jc w:val="center"/>
      </w:pPr>
      <w:bookmarkStart w:id="124" w:name="_Toc451604356"/>
      <w:bookmarkEnd w:id="124"/>
      <w:bookmarkStart w:id="125" w:name="_Toc451604357"/>
      <w:bookmarkEnd w:id="125"/>
      <w:bookmarkStart w:id="126" w:name="_Toc451604358"/>
      <w:bookmarkEnd w:id="126"/>
      <w:bookmarkStart w:id="127" w:name="_Toc451604359"/>
      <w:bookmarkEnd w:id="127"/>
      <w:bookmarkStart w:id="128" w:name="_Toc449526756"/>
      <w:bookmarkEnd w:id="128"/>
      <w:bookmarkStart w:id="129" w:name="_Toc449526757"/>
      <w:bookmarkEnd w:id="129"/>
      <w:bookmarkStart w:id="130" w:name="_Toc449526758"/>
      <w:bookmarkEnd w:id="130"/>
      <w:bookmarkStart w:id="131" w:name="_Toc449526759"/>
      <w:bookmarkEnd w:id="131"/>
      <w:bookmarkStart w:id="132" w:name="_Toc449526760"/>
      <w:bookmarkEnd w:id="132"/>
      <w:bookmarkStart w:id="133" w:name="_Toc449526761"/>
      <w:bookmarkEnd w:id="133"/>
      <w:bookmarkStart w:id="134" w:name="_Toc449526762"/>
      <w:bookmarkEnd w:id="134"/>
      <w:bookmarkStart w:id="135" w:name="_Toc451604363"/>
      <w:bookmarkEnd w:id="135"/>
      <w:bookmarkStart w:id="136" w:name="_Toc451604364"/>
      <w:bookmarkEnd w:id="136"/>
      <w:bookmarkStart w:id="137" w:name="_Toc451604365"/>
      <w:bookmarkEnd w:id="137"/>
      <w:bookmarkStart w:id="138" w:name="_Toc451604366"/>
      <w:bookmarkEnd w:id="138"/>
      <w:bookmarkStart w:id="139" w:name="_Toc451604367"/>
      <w:bookmarkEnd w:id="139"/>
      <w:bookmarkStart w:id="140" w:name="_Toc451604368"/>
      <w:bookmarkEnd w:id="140"/>
      <w:bookmarkStart w:id="141" w:name="_Toc451241362"/>
      <w:bookmarkStart w:id="142" w:name="_Toc451242807"/>
      <w:bookmarkStart w:id="143" w:name="_Toc451243321"/>
      <w:bookmarkStart w:id="144" w:name="_Toc451244658"/>
      <w:bookmarkStart w:id="145" w:name="_Toc451281180"/>
      <w:bookmarkStart w:id="146" w:name="_Toc451348109"/>
      <w:bookmarkStart w:id="147" w:name="_Toc451368555"/>
      <w:bookmarkStart w:id="148" w:name="_Toc451604369"/>
      <w:bookmarkStart w:id="149" w:name="_Toc450583006"/>
      <w:bookmarkStart w:id="150" w:name="_Toc450583354"/>
      <w:bookmarkStart w:id="151" w:name="_Toc450584433"/>
      <w:bookmarkStart w:id="152" w:name="_Toc450661464"/>
      <w:bookmarkStart w:id="153" w:name="_Toc450670928"/>
      <w:bookmarkStart w:id="154" w:name="_Toc451156689"/>
      <w:bookmarkStart w:id="155" w:name="_Toc451238578"/>
      <w:r>
        <w:br w:type="page"/>
      </w:r>
    </w:p>
    <w:p>
      <w:pPr>
        <w:pStyle w:val="27"/>
      </w:pPr>
    </w:p>
    <w:p>
      <w:pPr>
        <w:pStyle w:val="86"/>
        <w:spacing w:after="0"/>
        <w:ind w:left="0"/>
        <w:rPr>
          <w:sz w:val="24"/>
        </w:rPr>
      </w:pPr>
      <w:bookmarkStart w:id="156" w:name="_Toc452053809"/>
      <w:bookmarkStart w:id="157" w:name="_Toc451860888"/>
      <w:r>
        <w:rPr>
          <w:sz w:val="24"/>
        </w:rPr>
        <w:br w:clear="all"/>
      </w:r>
      <w:bookmarkStart w:id="158" w:name="_Toc452750837"/>
      <w:r>
        <w:rPr>
          <w:rFonts w:hint="eastAsia"/>
          <w:sz w:val="24"/>
        </w:rPr>
        <w:t>设计规范</w:t>
      </w:r>
      <w:bookmarkEnd w:id="156"/>
      <w:bookmarkEnd w:id="157"/>
      <w:bookmarkEnd w:id="158"/>
    </w:p>
    <w:p>
      <w:pPr>
        <w:pStyle w:val="87"/>
      </w:pPr>
      <w:bookmarkStart w:id="159" w:name="_Toc452053927"/>
      <w:bookmarkStart w:id="160" w:name="_Toc452480295"/>
      <w:bookmarkStart w:id="161" w:name="_Toc452750838"/>
      <w:bookmarkStart w:id="162" w:name="_Toc451860889"/>
      <w:bookmarkStart w:id="163" w:name="_Toc452053810"/>
      <w:r>
        <w:rPr>
          <w:rFonts w:hint="eastAsia"/>
        </w:rPr>
        <w:t>（资料性附录）</w:t>
      </w:r>
      <w:bookmarkEnd w:id="159"/>
      <w:bookmarkEnd w:id="160"/>
      <w:bookmarkEnd w:id="161"/>
      <w:bookmarkEnd w:id="162"/>
      <w:bookmarkEnd w:id="163"/>
    </w:p>
    <w:p>
      <w:pPr>
        <w:pStyle w:val="103"/>
        <w:spacing w:before="312" w:after="312"/>
      </w:pPr>
      <w:r>
        <w:rPr>
          <w:rFonts w:hint="eastAsia"/>
        </w:rPr>
        <w:t>防触电要求</w:t>
      </w:r>
    </w:p>
    <w:p>
      <w:pPr>
        <w:pStyle w:val="105"/>
      </w:pPr>
      <w:r>
        <w:t>车辆安装的</w:t>
      </w:r>
      <w:r>
        <w:rPr>
          <w:rFonts w:hint="eastAsia"/>
        </w:rPr>
        <w:t>电气设备</w:t>
      </w:r>
      <w:r>
        <w:t>应</w:t>
      </w:r>
      <w:r>
        <w:rPr>
          <w:rFonts w:hint="eastAsia"/>
        </w:rPr>
        <w:t>符合</w:t>
      </w:r>
      <w:r>
        <w:t>QC/T413</w:t>
      </w:r>
      <w:r>
        <w:rPr>
          <w:rFonts w:hint="eastAsia"/>
        </w:rPr>
        <w:t xml:space="preserve">的要求。低压电器和线束使用的插接器应符合QC/T </w:t>
      </w:r>
      <w:r>
        <w:t>417</w:t>
      </w:r>
      <w:r>
        <w:rPr>
          <w:rFonts w:hint="eastAsia"/>
        </w:rPr>
        <w:t>.1、</w:t>
      </w:r>
      <w:r>
        <w:t>QC/T</w:t>
      </w:r>
      <w:r>
        <w:rPr>
          <w:rFonts w:hint="eastAsia"/>
        </w:rPr>
        <w:t xml:space="preserve"> </w:t>
      </w:r>
      <w:r>
        <w:t>417</w:t>
      </w:r>
      <w:r>
        <w:rPr>
          <w:rFonts w:hint="eastAsia"/>
        </w:rPr>
        <w:t>.3、</w:t>
      </w:r>
      <w:r>
        <w:t>QC/T</w:t>
      </w:r>
      <w:r>
        <w:rPr>
          <w:rFonts w:hint="eastAsia"/>
        </w:rPr>
        <w:t xml:space="preserve"> </w:t>
      </w:r>
      <w:r>
        <w:t>417</w:t>
      </w:r>
      <w:r>
        <w:rPr>
          <w:rFonts w:hint="eastAsia"/>
        </w:rPr>
        <w:t>.4的要求，所有在乘客舱和驾驶舱以外使用的插接器应使用汽车密封防水插接器，布置上应尽可能离地面较高，避开被雨水、洗车水、路面积水等外界液体飞溅的位置。</w:t>
      </w:r>
    </w:p>
    <w:p>
      <w:pPr>
        <w:pStyle w:val="105"/>
      </w:pPr>
      <w:r>
        <w:rPr>
          <w:rFonts w:hint="eastAsia"/>
        </w:rPr>
        <w:t>车辆不得含有裸露的导线、接线端、连接单元。动力电路系统的带电部件，应通过绝缘或使用防护盖、防护栏、金属网等防止直接接触。这些防护装置应牢固可靠并耐机械冲击。在不使用工具或无意识的情况下不能被打开、分离或移开。</w:t>
      </w:r>
    </w:p>
    <w:p>
      <w:pPr>
        <w:pStyle w:val="103"/>
        <w:spacing w:before="312" w:after="312"/>
        <w:rPr>
          <w:color w:val="000000"/>
        </w:rPr>
      </w:pPr>
      <w:r>
        <w:rPr>
          <w:rFonts w:hint="eastAsia"/>
          <w:color w:val="000000"/>
        </w:rPr>
        <w:t>线束安装要求</w:t>
      </w:r>
    </w:p>
    <w:p>
      <w:pPr>
        <w:pStyle w:val="105"/>
      </w:pPr>
      <w:r>
        <w:rPr>
          <w:rFonts w:hint="eastAsia"/>
        </w:rPr>
        <w:t>线束安装位置应避开高温、潮湿、腐蚀、振动部位，若无法避开时，应有防护措施。</w:t>
      </w:r>
    </w:p>
    <w:p>
      <w:pPr>
        <w:pStyle w:val="105"/>
      </w:pPr>
      <w:r>
        <w:rPr>
          <w:rFonts w:hint="eastAsia"/>
        </w:rPr>
        <w:t>线束应固定牢固，布置在棱角处时应有防护措施。</w:t>
      </w:r>
    </w:p>
    <w:p>
      <w:pPr>
        <w:pStyle w:val="105"/>
      </w:pPr>
      <w:r>
        <w:rPr>
          <w:rFonts w:hint="eastAsia"/>
        </w:rPr>
        <w:t>线束安装在转弯处时应圆弧过渡，圆弧角度不小于90°。</w:t>
      </w:r>
    </w:p>
    <w:p>
      <w:pPr>
        <w:pStyle w:val="105"/>
      </w:pPr>
      <w:r>
        <w:rPr>
          <w:rFonts w:hint="eastAsia"/>
        </w:rPr>
        <w:t>B级电压电缆应单独铺设，铺设的线束应排列整齐，固定牢靠，穿过孔洞时应有保护和绝缘措施。在某些特殊部位（与A级电压线束、气管、油管等排列或交叉的场合），应有有效隔离和绝缘安全措施。</w:t>
      </w:r>
    </w:p>
    <w:p>
      <w:pPr>
        <w:pStyle w:val="105"/>
      </w:pPr>
      <w:r>
        <w:rPr>
          <w:rFonts w:hint="eastAsia"/>
        </w:rPr>
        <w:t>B级电压电缆使用螺钉夹紧件或者螺栓夹紧件时，螺钉与螺母的机械强度应不低于8.8级，并有防松动措施，并符合GB/T 31467.3—2015中第7.1.2条的振动测试要求。</w:t>
      </w:r>
    </w:p>
    <w:p>
      <w:pPr>
        <w:pStyle w:val="105"/>
      </w:pPr>
      <w:r>
        <w:rPr>
          <w:rFonts w:hint="eastAsia"/>
        </w:rPr>
        <w:t>电动空调器B级电压电缆的连接端子应采用双螺母固定方式，搭铁线应单独固定搭铁，不应与空调机组的固定螺栓或其他部件的固定螺栓搭在一起。</w:t>
      </w:r>
    </w:p>
    <w:p>
      <w:pPr>
        <w:pStyle w:val="105"/>
      </w:pPr>
      <w:r>
        <w:rPr>
          <w:rFonts w:hint="eastAsia"/>
        </w:rPr>
        <w:t>电动空调器应具有高、低压压力保护和自动温控功能，内部的连接端子应直接与熔断器接触。</w:t>
      </w:r>
    </w:p>
    <w:p>
      <w:pPr>
        <w:pStyle w:val="105"/>
      </w:pPr>
      <w:r>
        <w:rPr>
          <w:rFonts w:hint="eastAsia"/>
        </w:rPr>
        <w:t>B级电压采暖、除霜系统应安装直流接触器，在检测到发热体的温度超出设定危险温度时，应主动断开B级电压电路。</w:t>
      </w:r>
    </w:p>
    <w:p>
      <w:pPr>
        <w:pStyle w:val="103"/>
        <w:spacing w:before="312" w:after="312"/>
        <w:rPr>
          <w:color w:val="000000"/>
        </w:rPr>
      </w:pPr>
      <w:r>
        <w:rPr>
          <w:rFonts w:hint="eastAsia"/>
          <w:color w:val="000000"/>
        </w:rPr>
        <w:t>充电安全</w:t>
      </w:r>
    </w:p>
    <w:p>
      <w:pPr>
        <w:pStyle w:val="105"/>
        <w:rPr>
          <w:rFonts w:hAnsi="宋体"/>
        </w:rPr>
      </w:pPr>
      <w:r>
        <w:rPr>
          <w:rFonts w:hint="eastAsia" w:hAnsi="宋体"/>
        </w:rPr>
        <w:t>电动客车若安装有受电弓，则应符合以下要求：</w:t>
      </w:r>
    </w:p>
    <w:p>
      <w:pPr>
        <w:pStyle w:val="51"/>
        <w:ind w:left="851"/>
      </w:pPr>
      <w:r>
        <w:rPr>
          <w:rFonts w:hint="eastAsia"/>
        </w:rPr>
        <w:t>受电弓极板最大外形长度应小于充电架授电排极板或触网的间距；</w:t>
      </w:r>
    </w:p>
    <w:p>
      <w:pPr>
        <w:pStyle w:val="51"/>
        <w:ind w:left="851"/>
      </w:pPr>
      <w:r>
        <w:rPr>
          <w:rFonts w:hint="eastAsia"/>
        </w:rPr>
        <w:t>受电弓应满足充电站亭或充电架的使用要求，受电弓升起后极板离地高度应为4600mm</w:t>
      </w:r>
      <w:r>
        <w:t>～</w:t>
      </w:r>
      <w:r>
        <w:rPr>
          <w:rFonts w:hint="eastAsia"/>
        </w:rPr>
        <w:t>4800mm；正、负极板高度差应小于20mm；</w:t>
      </w:r>
    </w:p>
    <w:p>
      <w:pPr>
        <w:pStyle w:val="51"/>
        <w:ind w:left="851"/>
      </w:pPr>
      <w:r>
        <w:rPr>
          <w:rFonts w:hint="eastAsia"/>
        </w:rPr>
        <w:t>受电弓极板在落至最低位置静止状态下，离地高度应小于等于4000 mm；</w:t>
      </w:r>
    </w:p>
    <w:p>
      <w:pPr>
        <w:pStyle w:val="51"/>
        <w:ind w:left="851"/>
      </w:pPr>
      <w:r>
        <w:rPr>
          <w:rFonts w:hint="eastAsia"/>
        </w:rPr>
        <w:t>受电弓上升或下降应有缓冲设计，受电弓极板对充电架授电排极板或触网的压力应在</w:t>
      </w:r>
      <w:r>
        <w:t>80N</w:t>
      </w:r>
      <w:r>
        <w:rPr>
          <w:rFonts w:hint="eastAsia"/>
        </w:rPr>
        <w:t>～1</w:t>
      </w:r>
      <w:r>
        <w:t>20N</w:t>
      </w:r>
      <w:r>
        <w:rPr>
          <w:rFonts w:hint="eastAsia"/>
        </w:rPr>
        <w:t>范围内；</w:t>
      </w:r>
    </w:p>
    <w:p>
      <w:pPr>
        <w:pStyle w:val="51"/>
        <w:ind w:left="851"/>
      </w:pPr>
      <w:r>
        <w:rPr>
          <w:rFonts w:hint="eastAsia"/>
        </w:rPr>
        <w:t>受电弓应符合QC/T 413—2002中第3.12中其他部位的振动测试要求。</w:t>
      </w:r>
    </w:p>
    <w:p>
      <w:pPr>
        <w:pStyle w:val="105"/>
        <w:rPr>
          <w:rFonts w:hAnsi="宋体"/>
        </w:rPr>
      </w:pPr>
      <w:r>
        <w:rPr>
          <w:rFonts w:hint="eastAsia" w:hAnsi="宋体"/>
        </w:rPr>
        <w:t>充电系统中的AC-DC设备应具备根据电池管理系统的要求，控制充电电压、充电电流限制值的能力，当电压或电流超过电池所允许的限制值时，需停止直流侧输出；当不能获得电压和电流限制值时应停止直流侧输出。</w:t>
      </w:r>
    </w:p>
    <w:p>
      <w:pPr>
        <w:pStyle w:val="105"/>
        <w:rPr>
          <w:rFonts w:hAnsi="宋体"/>
        </w:rPr>
      </w:pPr>
      <w:r>
        <w:rPr>
          <w:rFonts w:hint="eastAsia" w:hAnsi="宋体"/>
        </w:rPr>
        <w:t>充电系统应具备防反充保护功能，避免向电池反向充电。</w:t>
      </w:r>
    </w:p>
    <w:p>
      <w:pPr>
        <w:pStyle w:val="105"/>
      </w:pPr>
      <w:r>
        <w:rPr>
          <w:rFonts w:hint="eastAsia"/>
        </w:rPr>
        <w:t>充电系统应具备输入输出短路、过压、欠压、过流、过热、对地短路等相应的报警和保护功能。</w:t>
      </w:r>
    </w:p>
    <w:p>
      <w:pPr>
        <w:pStyle w:val="105"/>
      </w:pPr>
      <w:r>
        <w:rPr>
          <w:rFonts w:hint="eastAsia"/>
        </w:rPr>
        <w:t>充电系统在考虑合理的线路压降的情况下，直流侧输出电压和电池管理系统监测电压差达到30V时应停止充电并报警。</w:t>
      </w:r>
    </w:p>
    <w:p>
      <w:pPr>
        <w:pStyle w:val="105"/>
      </w:pPr>
      <w:r>
        <w:rPr>
          <w:rFonts w:hint="eastAsia"/>
        </w:rPr>
        <w:t>充电接口应具备锁止机构，如无锁止机构则必须满足充电接口断开后，</w:t>
      </w:r>
      <w:r>
        <w:t>1S</w:t>
      </w:r>
      <w:r>
        <w:rPr>
          <w:rFonts w:hint="eastAsia"/>
        </w:rPr>
        <w:t>内充电设备电压回落到</w:t>
      </w:r>
      <w:r>
        <w:t>60V</w:t>
      </w:r>
      <w:r>
        <w:rPr>
          <w:rFonts w:hint="eastAsia"/>
        </w:rPr>
        <w:t>以内。</w:t>
      </w:r>
    </w:p>
    <w:p>
      <w:pPr>
        <w:pStyle w:val="103"/>
        <w:spacing w:before="312" w:after="312"/>
        <w:rPr>
          <w:color w:val="000000"/>
        </w:rPr>
      </w:pPr>
      <w:r>
        <w:rPr>
          <w:rFonts w:hint="eastAsia"/>
          <w:color w:val="000000"/>
        </w:rPr>
        <w:t>控制安全</w:t>
      </w:r>
    </w:p>
    <w:p>
      <w:pPr>
        <w:pStyle w:val="105"/>
      </w:pPr>
      <w:r>
        <w:rPr>
          <w:rFonts w:hint="eastAsia"/>
        </w:rPr>
        <w:t>B级电压电路通电时，应先接通低压、后接通高压；断电时，应先断开高压，后断开低压。</w:t>
      </w:r>
    </w:p>
    <w:p>
      <w:pPr>
        <w:pStyle w:val="105"/>
      </w:pPr>
      <w:r>
        <w:rPr>
          <w:rFonts w:hint="eastAsia"/>
        </w:rPr>
        <w:t>整车控制系统应避免在行车过程中电池充</w:t>
      </w:r>
      <w:r>
        <w:t>/</w:t>
      </w:r>
      <w:r>
        <w:rPr>
          <w:rFonts w:hint="eastAsia"/>
        </w:rPr>
        <w:t>放电功率大于电池允许的充放电功率。</w:t>
      </w:r>
    </w:p>
    <w:p>
      <w:pPr>
        <w:pStyle w:val="105"/>
      </w:pPr>
      <w:r>
        <w:rPr>
          <w:rFonts w:hint="eastAsia"/>
        </w:rPr>
        <w:t>整车应有一个信号装置标识B级电压电路的通断状态。</w:t>
      </w:r>
    </w:p>
    <w:p>
      <w:pPr>
        <w:pStyle w:val="105"/>
      </w:pPr>
      <w:r>
        <w:rPr>
          <w:rFonts w:hint="eastAsia"/>
        </w:rPr>
        <w:t>针对配置与整车安全性能相关的电子系统（如防抱死制动系统和驱动防滑系统）的车辆，整车控制系统应与电子系统有信息交互，并需与电子系统协同工作。</w:t>
      </w:r>
    </w:p>
    <w:p>
      <w:pPr>
        <w:pStyle w:val="105"/>
      </w:pPr>
      <w:r>
        <w:rPr>
          <w:rFonts w:hint="eastAsia"/>
        </w:rPr>
        <w:t>电机控制、发电机控制等关键通信报文应增加序列号，接收方评估序列号正常后才能响应控制指令，如有异常，接收方设备应进入安全状态。</w:t>
      </w:r>
    </w:p>
    <w:p>
      <w:pPr>
        <w:pStyle w:val="105"/>
      </w:pPr>
      <w:r>
        <w:rPr>
          <w:rFonts w:hint="eastAsia"/>
        </w:rPr>
        <w:t>通信系统根据数据时窗读取访问，如果在时间窗内数据没有更新则认为通信超时；整车控制系统接收超时时，应通过声或光报警提示驾驶员；驱动系统接收超时时，应进入安全状态。</w:t>
      </w:r>
    </w:p>
    <w:p>
      <w:pPr>
        <w:pStyle w:val="105"/>
      </w:pPr>
      <w:r>
        <w:rPr>
          <w:rFonts w:hint="eastAsia"/>
        </w:rPr>
        <w:t>整车控制系统应具有故障诊断功能，包括常见的硬件故障、软件故障、通信故障等。</w:t>
      </w:r>
    </w:p>
    <w:p>
      <w:pPr>
        <w:pStyle w:val="103"/>
        <w:spacing w:before="312" w:after="312"/>
      </w:pPr>
      <w:r>
        <w:rPr>
          <w:rFonts w:hint="eastAsia"/>
        </w:rPr>
        <w:t>电池管理系统</w:t>
      </w:r>
    </w:p>
    <w:p>
      <w:pPr>
        <w:pStyle w:val="105"/>
      </w:pPr>
      <w:r>
        <w:t>电池管理系统</w:t>
      </w:r>
      <w:r>
        <w:rPr>
          <w:rFonts w:hint="eastAsia"/>
        </w:rPr>
        <w:t>应符合</w:t>
      </w:r>
      <w:r>
        <w:t>QC/T 897—2011的要求，</w:t>
      </w:r>
      <w:r>
        <w:rPr>
          <w:rFonts w:hint="eastAsia"/>
        </w:rPr>
        <w:t>还</w:t>
      </w:r>
      <w:r>
        <w:t>至少应</w:t>
      </w:r>
      <w:r>
        <w:rPr>
          <w:rFonts w:hint="eastAsia"/>
        </w:rPr>
        <w:t>具备下列功能</w:t>
      </w:r>
      <w:r>
        <w:t>：</w:t>
      </w:r>
    </w:p>
    <w:p>
      <w:pPr>
        <w:pStyle w:val="51"/>
        <w:ind w:left="0" w:firstLine="424" w:firstLineChars="202"/>
      </w:pPr>
      <w:r>
        <w:rPr>
          <w:rFonts w:hint="eastAsia"/>
        </w:rPr>
        <w:t>主处理器具备防止程序由于干扰原因进入“死循环”的功能；</w:t>
      </w:r>
    </w:p>
    <w:p>
      <w:pPr>
        <w:pStyle w:val="51"/>
        <w:ind w:left="0" w:firstLine="424" w:firstLineChars="202"/>
      </w:pPr>
      <w:r>
        <w:t>主处理器使用的</w:t>
      </w:r>
      <w:r>
        <w:rPr>
          <w:rFonts w:hint="eastAsia"/>
        </w:rPr>
        <w:t>存储介质</w:t>
      </w:r>
      <w:r>
        <w:t>应具备</w:t>
      </w:r>
      <w:r>
        <w:rPr>
          <w:rFonts w:hint="eastAsia"/>
        </w:rPr>
        <w:t>错误检测码</w:t>
      </w:r>
      <w:r>
        <w:t>校验功能</w:t>
      </w:r>
      <w:r>
        <w:rPr>
          <w:rFonts w:hint="eastAsia"/>
        </w:rPr>
        <w:t>；</w:t>
      </w:r>
    </w:p>
    <w:p>
      <w:pPr>
        <w:pStyle w:val="51"/>
        <w:ind w:left="0" w:firstLine="424" w:firstLineChars="202"/>
      </w:pPr>
      <w:r>
        <w:rPr>
          <w:color w:val="000000"/>
        </w:rPr>
        <w:t>至少</w:t>
      </w:r>
      <w:r>
        <w:rPr>
          <w:rFonts w:hint="eastAsia"/>
          <w:color w:val="000000"/>
        </w:rPr>
        <w:t>2种独立的手段对系统总电压进行测量和校验的</w:t>
      </w:r>
      <w:r>
        <w:rPr>
          <w:color w:val="000000"/>
        </w:rPr>
        <w:t>功能</w:t>
      </w:r>
      <w:r>
        <w:rPr>
          <w:rFonts w:hint="eastAsia"/>
          <w:color w:val="000000"/>
        </w:rPr>
        <w:t>；</w:t>
      </w:r>
    </w:p>
    <w:p>
      <w:pPr>
        <w:pStyle w:val="51"/>
        <w:ind w:left="0" w:firstLine="424" w:firstLineChars="202"/>
      </w:pPr>
      <w:r>
        <w:t>诊断</w:t>
      </w:r>
      <w:r>
        <w:rPr>
          <w:rFonts w:hint="eastAsia"/>
        </w:rPr>
        <w:t>均衡功能有效的能力。</w:t>
      </w:r>
    </w:p>
    <w:p>
      <w:pPr>
        <w:pStyle w:val="105"/>
      </w:pPr>
      <w:r>
        <w:rPr>
          <w:rFonts w:hint="eastAsia"/>
        </w:rPr>
        <w:t>电池管理系统应具备故障报警功能，并将报警信息通过整车仪表和远程安全监控系统等及时报出，报警信息应至少包括过温、过电压、欠电压。</w:t>
      </w:r>
    </w:p>
    <w:p>
      <w:pPr>
        <w:pStyle w:val="105"/>
        <w:numPr>
          <w:numId w:val="0"/>
        </w:numPr>
      </w:pPr>
    </w:p>
    <w:p>
      <w:pPr>
        <w:widowControl/>
        <w:jc w:val="left"/>
        <w:rPr>
          <w:rFonts w:ascii="黑体" w:eastAsia="黑体"/>
          <w:kern w:val="0"/>
          <w:sz w:val="24"/>
          <w:szCs w:val="20"/>
        </w:rPr>
      </w:pPr>
      <w:r>
        <w:rPr>
          <w:sz w:val="24"/>
        </w:rPr>
        <w:br w:type="page"/>
      </w:r>
    </w:p>
    <w:p>
      <w:pPr>
        <w:pStyle w:val="86"/>
        <w:spacing w:after="0"/>
        <w:ind w:left="0"/>
        <w:rPr>
          <w:sz w:val="24"/>
        </w:rPr>
      </w:pPr>
      <w:r>
        <w:rPr>
          <w:sz w:val="24"/>
        </w:rPr>
        <w:br w:clear="all"/>
      </w:r>
      <w:bookmarkStart w:id="164" w:name="_Toc452750839"/>
      <w:r>
        <w:rPr>
          <w:rFonts w:hint="eastAsia"/>
          <w:sz w:val="24"/>
        </w:rPr>
        <w:t>蓄电池单元热失控试验</w:t>
      </w:r>
      <w:bookmarkEnd w:id="164"/>
    </w:p>
    <w:p>
      <w:pPr>
        <w:pStyle w:val="103"/>
        <w:spacing w:before="312" w:after="312"/>
      </w:pPr>
      <w:r>
        <w:rPr>
          <w:rFonts w:hint="eastAsia"/>
        </w:rPr>
        <w:t>测试对象：</w:t>
      </w:r>
    </w:p>
    <w:p>
      <w:pPr>
        <w:pStyle w:val="66"/>
        <w:numPr>
          <w:numId w:val="0"/>
        </w:numPr>
        <w:ind w:firstLine="420" w:firstLineChars="200"/>
      </w:pPr>
      <w:r>
        <w:rPr>
          <w:rFonts w:hint="eastAsia"/>
        </w:rPr>
        <w:t>电池管理系统管理的最小蓄电池单元。</w:t>
      </w:r>
    </w:p>
    <w:p>
      <w:pPr>
        <w:pStyle w:val="103"/>
        <w:spacing w:before="312" w:after="312"/>
      </w:pPr>
      <w:r>
        <w:rPr>
          <w:rFonts w:hint="eastAsia" w:hAnsi="宋体"/>
        </w:rPr>
        <w:t>试验</w:t>
      </w:r>
      <w:r>
        <w:rPr>
          <w:rFonts w:hint="eastAsia"/>
        </w:rPr>
        <w:t>方法：</w:t>
      </w:r>
    </w:p>
    <w:p>
      <w:pPr>
        <w:pStyle w:val="105"/>
        <w:rPr>
          <w:rFonts w:ascii="宋体" w:hAnsi="宋体" w:eastAsia="宋体"/>
        </w:rPr>
      </w:pPr>
      <w:r>
        <w:rPr>
          <w:rFonts w:hint="eastAsia" w:ascii="宋体" w:hAnsi="宋体" w:eastAsia="宋体"/>
        </w:rPr>
        <w:t>完成测试对象与加热装置的装配，加热功率要求见表</w:t>
      </w:r>
      <w:r>
        <w:rPr>
          <w:rFonts w:ascii="宋体" w:hAnsi="宋体" w:eastAsia="宋体"/>
        </w:rPr>
        <w:t>3</w:t>
      </w:r>
      <w:r>
        <w:rPr>
          <w:rFonts w:hint="eastAsia" w:ascii="宋体" w:hAnsi="宋体" w:eastAsia="宋体"/>
        </w:rPr>
        <w:t>,加热装置与蓄电池应直接接触（参见图</w:t>
      </w:r>
      <w:r>
        <w:rPr>
          <w:rFonts w:ascii="宋体" w:hAnsi="宋体" w:eastAsia="宋体"/>
        </w:rPr>
        <w:t>1</w:t>
      </w:r>
      <w:r>
        <w:rPr>
          <w:rFonts w:hint="eastAsia" w:ascii="宋体" w:hAnsi="宋体" w:eastAsia="宋体"/>
        </w:rPr>
        <w:t>），安装温度监测器，监测测试对象的正、负极柱，和各可测面几何中心的温度，温度数据采集频率要求不小于1Hz记录一个数据，精度要求小于±</w:t>
      </w:r>
      <w:r>
        <w:rPr>
          <w:rFonts w:ascii="宋体" w:hAnsi="宋体" w:eastAsia="宋体"/>
        </w:rPr>
        <w:t>0.5</w:t>
      </w:r>
      <w:r>
        <w:rPr>
          <w:rFonts w:hint="eastAsia" w:ascii="宋体" w:hAnsi="宋体" w:eastAsia="宋体"/>
        </w:rPr>
        <w:t>℃</w:t>
      </w:r>
      <w:r>
        <w:rPr>
          <w:rFonts w:hint="eastAsia" w:hAnsi="宋体"/>
        </w:rPr>
        <w:t>。</w:t>
      </w:r>
    </w:p>
    <w:p>
      <w:pPr>
        <w:pStyle w:val="66"/>
        <w:numPr>
          <w:numId w:val="0"/>
        </w:numPr>
        <w:jc w:val="center"/>
      </w:pPr>
      <w:r>
        <w:rPr>
          <w:rFonts w:hint="eastAsia"/>
        </w:rPr>
        <w:t>表B.1</w:t>
      </w:r>
      <w:r>
        <w:t>：</w:t>
      </w:r>
      <w:r>
        <w:rPr>
          <w:rFonts w:hint="eastAsia"/>
        </w:rPr>
        <w:t>加热装置</w:t>
      </w:r>
      <w:r>
        <w:t>功率</w:t>
      </w:r>
      <w:r>
        <w:rPr>
          <w:rFonts w:hint="eastAsia"/>
        </w:rPr>
        <w:t>选择</w:t>
      </w:r>
    </w:p>
    <w:tbl>
      <w:tblPr>
        <w:tblStyle w:val="43"/>
        <w:tblW w:w="9356"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204"/>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4" w:hRule="atLeast"/>
        </w:trPr>
        <w:tc>
          <w:tcPr>
            <w:tcW w:w="6204" w:type="dxa"/>
            <w:vAlign w:val="center"/>
          </w:tcPr>
          <w:p>
            <w:pPr>
              <w:jc w:val="center"/>
            </w:pPr>
            <w:r>
              <w:rPr>
                <w:rFonts w:hint="eastAsia"/>
              </w:rPr>
              <w:t>测试对象容量</w:t>
            </w:r>
            <w:r>
              <w:t>x</w:t>
            </w:r>
            <w:r>
              <w:rPr>
                <w:rFonts w:hint="eastAsia"/>
              </w:rPr>
              <w:t>（W</w:t>
            </w:r>
            <w:r>
              <w:t>h</w:t>
            </w:r>
            <w:r>
              <w:rPr>
                <w:rFonts w:hint="eastAsia"/>
              </w:rPr>
              <w:t>）</w:t>
            </w:r>
          </w:p>
        </w:tc>
        <w:tc>
          <w:tcPr>
            <w:tcW w:w="3152" w:type="dxa"/>
            <w:vAlign w:val="center"/>
          </w:tcPr>
          <w:p>
            <w:pPr>
              <w:jc w:val="center"/>
              <w:rPr>
                <w:rFonts w:ascii="宋体" w:hAnsi="宋体"/>
              </w:rPr>
            </w:pPr>
            <w:r>
              <w:rPr>
                <w:rFonts w:ascii="宋体" w:hAnsi="宋体"/>
              </w:rPr>
              <w:t>加热</w:t>
            </w:r>
            <w:r>
              <w:rPr>
                <w:rFonts w:hint="eastAsia" w:ascii="宋体" w:hAnsi="宋体"/>
              </w:rPr>
              <w:t>器最小</w:t>
            </w:r>
            <w:r>
              <w:rPr>
                <w:rFonts w:ascii="宋体" w:hAnsi="宋体"/>
              </w:rPr>
              <w:t>功率（W）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4" w:hRule="atLeast"/>
        </w:trPr>
        <w:tc>
          <w:tcPr>
            <w:tcW w:w="6204" w:type="dxa"/>
            <w:vAlign w:val="center"/>
          </w:tcPr>
          <w:p>
            <w:pPr>
              <w:jc w:val="center"/>
              <w:rPr>
                <w:rFonts w:ascii="宋体" w:hAnsi="宋体"/>
              </w:rPr>
            </w:pPr>
            <w:r>
              <w:rPr>
                <w:rFonts w:ascii="DengXian" w:hAnsi="DengXian" w:eastAsia="DengXian"/>
              </w:rPr>
              <w:t>&lt;=</w:t>
            </w:r>
            <w:r>
              <w:rPr>
                <w:rFonts w:hint="eastAsia" w:ascii="DengXian" w:hAnsi="DengXian" w:eastAsia="DengXian"/>
              </w:rPr>
              <w:t>10</w:t>
            </w:r>
            <w:r>
              <w:rPr>
                <w:rFonts w:ascii="DengXian" w:hAnsi="DengXian" w:eastAsia="DengXian"/>
              </w:rPr>
              <w:t>0</w:t>
            </w:r>
          </w:p>
        </w:tc>
        <w:tc>
          <w:tcPr>
            <w:tcW w:w="3152" w:type="dxa"/>
            <w:vAlign w:val="center"/>
          </w:tcPr>
          <w:p>
            <w:pPr>
              <w:jc w:val="center"/>
              <w:rPr>
                <w:rFonts w:ascii="宋体" w:hAnsi="宋体"/>
              </w:rPr>
            </w:pPr>
            <w:r>
              <w:rPr>
                <w:rFonts w:hint="eastAsia" w:ascii="宋体" w:hAnsi="宋体"/>
              </w:rPr>
              <w:t>2</w:t>
            </w:r>
            <w:r>
              <w:rPr>
                <w:rFonts w:ascii="宋体" w:hAnsi="宋体"/>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4" w:hRule="atLeast"/>
        </w:trPr>
        <w:tc>
          <w:tcPr>
            <w:tcW w:w="6204" w:type="dxa"/>
            <w:vAlign w:val="center"/>
          </w:tcPr>
          <w:p>
            <w:pPr>
              <w:jc w:val="center"/>
              <w:rPr>
                <w:rFonts w:ascii="宋体" w:hAnsi="宋体"/>
              </w:rPr>
            </w:pPr>
            <w:r>
              <w:rPr>
                <w:rFonts w:hint="eastAsia" w:ascii="DengXian" w:hAnsi="DengXian" w:eastAsia="DengXian"/>
              </w:rPr>
              <w:t>20</w:t>
            </w:r>
            <w:r>
              <w:rPr>
                <w:rFonts w:ascii="DengXian" w:hAnsi="DengXian" w:eastAsia="DengXian"/>
              </w:rPr>
              <w:t>0&lt;x&lt;=</w:t>
            </w:r>
            <w:r>
              <w:rPr>
                <w:rFonts w:hint="eastAsia" w:ascii="DengXian" w:hAnsi="DengXian" w:eastAsia="DengXian"/>
              </w:rPr>
              <w:t>80</w:t>
            </w:r>
            <w:r>
              <w:rPr>
                <w:rFonts w:ascii="DengXian" w:hAnsi="DengXian" w:eastAsia="DengXian"/>
              </w:rPr>
              <w:t>0</w:t>
            </w:r>
          </w:p>
        </w:tc>
        <w:tc>
          <w:tcPr>
            <w:tcW w:w="3152" w:type="dxa"/>
            <w:vAlign w:val="center"/>
          </w:tcPr>
          <w:p>
            <w:pPr>
              <w:jc w:val="center"/>
              <w:rPr>
                <w:rFonts w:ascii="宋体" w:hAnsi="宋体"/>
              </w:rPr>
            </w:pPr>
            <w:r>
              <w:rPr>
                <w:rFonts w:hint="eastAsia" w:ascii="宋体" w:hAnsi="宋体"/>
              </w:rPr>
              <w:t>5</w:t>
            </w:r>
            <w:r>
              <w:rPr>
                <w:rFonts w:ascii="宋体" w:hAnsi="宋体"/>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4" w:hRule="atLeast"/>
        </w:trPr>
        <w:tc>
          <w:tcPr>
            <w:tcW w:w="6204" w:type="dxa"/>
            <w:vAlign w:val="center"/>
          </w:tcPr>
          <w:p>
            <w:pPr>
              <w:jc w:val="center"/>
              <w:rPr>
                <w:rFonts w:ascii="宋体" w:hAnsi="宋体"/>
              </w:rPr>
            </w:pPr>
            <w:r>
              <w:rPr>
                <w:rFonts w:ascii="DengXian" w:hAnsi="DengXian" w:eastAsia="DengXian"/>
              </w:rPr>
              <w:t>&gt;</w:t>
            </w:r>
            <w:r>
              <w:rPr>
                <w:rFonts w:hint="eastAsia" w:ascii="DengXian" w:hAnsi="DengXian" w:eastAsia="DengXian"/>
              </w:rPr>
              <w:t>8</w:t>
            </w:r>
            <w:r>
              <w:rPr>
                <w:rFonts w:ascii="DengXian" w:hAnsi="DengXian" w:eastAsia="DengXian"/>
              </w:rPr>
              <w:t>00</w:t>
            </w:r>
          </w:p>
        </w:tc>
        <w:tc>
          <w:tcPr>
            <w:tcW w:w="3152" w:type="dxa"/>
            <w:vAlign w:val="center"/>
          </w:tcPr>
          <w:p>
            <w:pPr>
              <w:jc w:val="center"/>
              <w:rPr>
                <w:rFonts w:ascii="宋体" w:hAnsi="宋体"/>
              </w:rPr>
            </w:pPr>
            <w:r>
              <w:rPr>
                <w:rFonts w:hint="eastAsia" w:ascii="宋体" w:hAnsi="宋体"/>
              </w:rPr>
              <w:t>8</w:t>
            </w:r>
            <w:r>
              <w:rPr>
                <w:rFonts w:ascii="宋体" w:hAnsi="宋体"/>
              </w:rPr>
              <w:t>00</w:t>
            </w:r>
          </w:p>
        </w:tc>
      </w:tr>
    </w:tbl>
    <w:p>
      <w:pPr>
        <w:pStyle w:val="105"/>
        <w:rPr>
          <w:rFonts w:ascii="宋体" w:hAnsi="宋体" w:eastAsia="宋体"/>
        </w:rPr>
      </w:pPr>
      <w:r>
        <w:rPr>
          <w:rFonts w:hint="eastAsia" w:ascii="宋体" w:hAnsi="宋体" w:eastAsia="宋体"/>
        </w:rPr>
        <w:t>将测试对象充电到100%SOC后，再对测试对象用1C电流继续充电1</w:t>
      </w:r>
      <w:r>
        <w:rPr>
          <w:rFonts w:ascii="宋体" w:hAnsi="宋体" w:eastAsia="宋体"/>
        </w:rPr>
        <w:t>2</w:t>
      </w:r>
      <w:r>
        <w:rPr>
          <w:rFonts w:hint="eastAsia" w:ascii="宋体" w:hAnsi="宋体" w:eastAsia="宋体"/>
        </w:rPr>
        <w:t>min。</w:t>
      </w:r>
    </w:p>
    <w:p>
      <w:pPr>
        <w:pStyle w:val="105"/>
        <w:rPr>
          <w:rFonts w:ascii="宋体" w:hAnsi="宋体" w:eastAsia="宋体"/>
        </w:rPr>
      </w:pPr>
      <w:r>
        <w:rPr>
          <w:rFonts w:hint="eastAsia" w:ascii="宋体" w:hAnsi="宋体" w:eastAsia="宋体"/>
        </w:rPr>
        <w:t>启动加热装置对测试对象进行持续加热，直到出现如下条件之一后</w:t>
      </w:r>
      <w:r>
        <w:rPr>
          <w:rFonts w:ascii="宋体" w:hAnsi="宋体" w:eastAsia="宋体"/>
        </w:rPr>
        <w:t xml:space="preserve">, </w:t>
      </w:r>
      <w:r>
        <w:rPr>
          <w:rFonts w:hint="eastAsia" w:ascii="宋体" w:hAnsi="宋体" w:eastAsia="宋体"/>
        </w:rPr>
        <w:t>关闭加热器。</w:t>
      </w:r>
    </w:p>
    <w:p>
      <w:pPr>
        <w:pStyle w:val="27"/>
        <w:numPr>
          <w:ilvl w:val="0"/>
          <w:numId w:val="18"/>
        </w:numPr>
        <w:tabs>
          <w:tab w:val="center" w:pos="709"/>
          <w:tab w:val="clear" w:pos="4201"/>
        </w:tabs>
        <w:ind w:firstLineChars="0"/>
        <w:rPr>
          <w:rFonts w:ascii="Times New Roman"/>
        </w:rPr>
      </w:pPr>
      <w:r>
        <w:rPr>
          <w:rFonts w:hint="eastAsia" w:ascii="Times New Roman"/>
        </w:rPr>
        <w:t>与加热装置直接接触的电池任何一测量点的温度均超过</w:t>
      </w:r>
      <w:r>
        <w:rPr>
          <w:rFonts w:ascii="Times New Roman"/>
        </w:rPr>
        <w:t>150</w:t>
      </w:r>
      <w:r>
        <w:rPr>
          <w:rFonts w:hint="eastAsia" w:ascii="Times New Roman"/>
        </w:rPr>
        <w:t>℃，且测得的温升速率（</w:t>
      </w:r>
      <w:r>
        <w:rPr>
          <w:rFonts w:ascii="Times New Roman"/>
        </w:rPr>
        <w:t>dT/dt</w:t>
      </w:r>
      <w:r>
        <w:rPr>
          <w:rFonts w:hint="eastAsia" w:ascii="Times New Roman"/>
        </w:rPr>
        <w:t>）超过</w:t>
      </w:r>
      <w:r>
        <w:rPr>
          <w:rFonts w:ascii="Times New Roman"/>
        </w:rPr>
        <w:t>10</w:t>
      </w:r>
      <w:r>
        <w:rPr>
          <w:rFonts w:hint="eastAsia" w:ascii="Times New Roman"/>
        </w:rPr>
        <w:t>℃</w:t>
      </w:r>
      <w:r>
        <w:rPr>
          <w:rFonts w:ascii="Times New Roman"/>
        </w:rPr>
        <w:t>/s</w:t>
      </w:r>
      <w:r>
        <w:rPr>
          <w:rFonts w:hint="eastAsia" w:ascii="Times New Roman"/>
        </w:rPr>
        <w:t>；</w:t>
      </w:r>
      <w:r>
        <w:rPr>
          <w:rFonts w:ascii="Times New Roman"/>
        </w:rPr>
        <w:t xml:space="preserve"> </w:t>
      </w:r>
    </w:p>
    <w:p>
      <w:pPr>
        <w:pStyle w:val="27"/>
        <w:numPr>
          <w:ilvl w:val="0"/>
          <w:numId w:val="18"/>
        </w:numPr>
        <w:tabs>
          <w:tab w:val="center" w:pos="709"/>
          <w:tab w:val="clear" w:pos="4201"/>
        </w:tabs>
        <w:ind w:firstLineChars="0"/>
        <w:rPr>
          <w:rFonts w:ascii="Times New Roman"/>
        </w:rPr>
      </w:pPr>
      <w:r>
        <w:rPr>
          <w:rFonts w:hint="eastAsia" w:ascii="Times New Roman"/>
        </w:rPr>
        <w:t>各测量点的温度超过</w:t>
      </w:r>
      <w:r>
        <w:rPr>
          <w:rFonts w:ascii="Times New Roman"/>
        </w:rPr>
        <w:t>300</w:t>
      </w:r>
      <w:r>
        <w:rPr>
          <w:rFonts w:hint="eastAsia" w:ascii="Times New Roman"/>
        </w:rPr>
        <w:t>℃，并持续</w:t>
      </w:r>
      <w:r>
        <w:rPr>
          <w:rFonts w:ascii="Times New Roman"/>
        </w:rPr>
        <w:t>5</w:t>
      </w:r>
      <w:r>
        <w:rPr>
          <w:rFonts w:hint="eastAsia" w:ascii="Times New Roman"/>
        </w:rPr>
        <w:t>min。</w:t>
      </w:r>
    </w:p>
    <w:p>
      <w:pPr>
        <w:pStyle w:val="105"/>
        <w:rPr>
          <w:rFonts w:ascii="Times New Roman"/>
        </w:rPr>
      </w:pPr>
      <w:r>
        <w:rPr>
          <w:rFonts w:hint="eastAsia" w:ascii="宋体" w:hAnsi="宋体" w:eastAsia="宋体"/>
        </w:rPr>
        <w:t>加热过程中及加热结束1h内，如果发生起火、爆炸现象，则试验终止。</w:t>
      </w:r>
    </w:p>
    <w:tbl>
      <w:tblPr>
        <w:tblStyle w:val="44"/>
        <w:tblW w:w="95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5"/>
        <w:gridCol w:w="4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54" w:hRule="atLeast"/>
        </w:trPr>
        <w:tc>
          <w:tcPr>
            <w:tcW w:w="4785" w:type="dxa"/>
            <w:vAlign w:val="top"/>
          </w:tcPr>
          <w:p>
            <w:pPr>
              <w:pStyle w:val="49"/>
              <w:widowControl w:val="0"/>
              <w:numPr>
                <w:ilvl w:val="2"/>
                <w:numId w:val="0"/>
              </w:numPr>
              <w:spacing w:beforeLines="0" w:afterLines="0"/>
              <w:ind w:left="142"/>
              <w:jc w:val="both"/>
              <w:rPr>
                <w:rFonts w:ascii="宋体"/>
                <w:color w:val="0432FF"/>
                <w:kern w:val="2"/>
                <w:sz w:val="18"/>
                <w:szCs w:val="18"/>
              </w:rPr>
            </w:pPr>
            <w:r>
              <w:rPr>
                <w:rFonts w:ascii="宋体" w:hAnsi="Times New Roman" w:eastAsia="黑体" w:cs="Times New Roman"/>
                <w:color w:val="0432FF"/>
                <w:kern w:val="2"/>
                <w:sz w:val="18"/>
                <w:szCs w:val="18"/>
                <w:lang w:val="en-US" w:eastAsia="zh-CN" w:bidi="ar-SA"/>
              </w:rPr>
              <w:pict>
                <v:shape id="图片 7" o:spid="_x0000_s1026" type="#_x0000_t75" style="height:134.6pt;width:153.8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tc>
        <w:tc>
          <w:tcPr>
            <w:tcW w:w="4785" w:type="dxa"/>
            <w:vAlign w:val="top"/>
          </w:tcPr>
          <w:p>
            <w:pPr>
              <w:pStyle w:val="66"/>
              <w:numPr>
                <w:numId w:val="0"/>
              </w:numPr>
              <w:rPr>
                <w:rFonts w:ascii="宋体"/>
                <w:kern w:val="2"/>
                <w:sz w:val="18"/>
                <w:szCs w:val="18"/>
              </w:rPr>
            </w:pPr>
            <w:r>
              <w:rPr>
                <w:rFonts w:ascii="宋体" w:hAnsi="Times New Roman" w:eastAsia="宋体" w:cs="Times New Roman"/>
                <w:kern w:val="2"/>
                <w:sz w:val="18"/>
                <w:szCs w:val="18"/>
                <w:lang w:val="en-US" w:eastAsia="zh-CN" w:bidi="ar-SA"/>
              </w:rPr>
              <w:pict>
                <v:shape id="图片 8" o:spid="_x0000_s1027" type="#_x0000_t75" style="height:127.75pt;width:197.6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785" w:type="dxa"/>
            <w:vAlign w:val="top"/>
          </w:tcPr>
          <w:p>
            <w:pPr>
              <w:pStyle w:val="66"/>
              <w:numPr>
                <w:numId w:val="0"/>
              </w:numPr>
              <w:ind w:left="1135"/>
            </w:pPr>
            <w:r>
              <w:rPr>
                <w:rFonts w:hint="eastAsia" w:ascii="宋体"/>
                <w:sz w:val="18"/>
                <w:szCs w:val="18"/>
              </w:rPr>
              <w:t>硬壳及软包蓄电池单元</w:t>
            </w:r>
          </w:p>
        </w:tc>
        <w:tc>
          <w:tcPr>
            <w:tcW w:w="4785" w:type="dxa"/>
            <w:vAlign w:val="top"/>
          </w:tcPr>
          <w:p>
            <w:pPr>
              <w:pStyle w:val="66"/>
              <w:numPr>
                <w:numId w:val="0"/>
              </w:numPr>
              <w:ind w:left="1135"/>
              <w:rPr>
                <w:rFonts w:ascii="宋体"/>
                <w:kern w:val="21"/>
                <w:sz w:val="18"/>
                <w:szCs w:val="18"/>
              </w:rPr>
            </w:pPr>
            <w:r>
              <w:rPr>
                <w:rFonts w:hint="eastAsia" w:ascii="宋体"/>
                <w:sz w:val="18"/>
                <w:szCs w:val="18"/>
              </w:rPr>
              <w:t>圆柱形蓄电池单元</w:t>
            </w:r>
          </w:p>
        </w:tc>
      </w:tr>
    </w:tbl>
    <w:p>
      <w:pPr>
        <w:pStyle w:val="66"/>
        <w:numPr>
          <w:numId w:val="0"/>
        </w:numPr>
        <w:ind w:left="1135"/>
        <w:jc w:val="center"/>
      </w:pPr>
      <w:r>
        <w:rPr>
          <w:rFonts w:hint="eastAsia"/>
        </w:rPr>
        <w:t>图B.1 加热示意图</w:t>
      </w:r>
    </w:p>
    <w:p>
      <w:pPr>
        <w:pStyle w:val="86"/>
        <w:spacing w:after="0"/>
        <w:ind w:left="0"/>
      </w:pPr>
      <w:r>
        <w:rPr/>
        <w:br w:clear="all"/>
      </w:r>
      <w:bookmarkStart w:id="165" w:name="_Toc452750840"/>
      <w:r>
        <w:rPr>
          <w:rFonts w:hint="eastAsia"/>
          <w:sz w:val="24"/>
        </w:rPr>
        <w:t>蓄电池包热失控扩展试验</w:t>
      </w:r>
      <w:bookmarkEnd w:id="165"/>
    </w:p>
    <w:p>
      <w:pPr>
        <w:pStyle w:val="103"/>
        <w:spacing w:before="312" w:after="312"/>
      </w:pPr>
      <w:r>
        <w:rPr>
          <w:rFonts w:hint="eastAsia"/>
        </w:rPr>
        <w:t>测试对象：</w:t>
      </w:r>
    </w:p>
    <w:p>
      <w:pPr>
        <w:pStyle w:val="66"/>
        <w:numPr>
          <w:numId w:val="0"/>
        </w:numPr>
        <w:ind w:firstLine="420" w:firstLineChars="200"/>
      </w:pPr>
      <w:r>
        <w:rPr>
          <w:rFonts w:hint="eastAsia"/>
        </w:rPr>
        <w:t>整车备案参数中明确的电池系统中能量最大的蓄电池包。</w:t>
      </w:r>
    </w:p>
    <w:p>
      <w:pPr>
        <w:pStyle w:val="103"/>
        <w:spacing w:before="312" w:after="312"/>
      </w:pPr>
      <w:r>
        <w:rPr>
          <w:rFonts w:hint="eastAsia" w:hAnsi="宋体"/>
        </w:rPr>
        <w:t>试验</w:t>
      </w:r>
      <w:r>
        <w:rPr>
          <w:rFonts w:hint="eastAsia"/>
        </w:rPr>
        <w:t>方法：</w:t>
      </w:r>
    </w:p>
    <w:p>
      <w:pPr>
        <w:pStyle w:val="105"/>
        <w:rPr>
          <w:rFonts w:ascii="宋体" w:hAnsi="宋体" w:eastAsia="宋体"/>
        </w:rPr>
      </w:pPr>
      <w:r>
        <w:rPr>
          <w:rFonts w:hint="eastAsia" w:ascii="宋体" w:hAnsi="宋体" w:eastAsia="宋体"/>
        </w:rPr>
        <w:t>选择热失控触发对象：热失控触发对象为电池包中布置最为密集部位模块内电池管理系统管理的最小蓄电池单元的最小电池单元。取出触发对象所在的模块，将加热装置与触发对象直接接触并固定，要求加热装置 (加热功率要求见表3)与蓄电池直接接触，安装温度监控器，且监测测试对象的正、负极柱，和可测面几何中心的温度，（温度数据采集频率要求至少每1秒间隔不小于1Hz记录一个数据，精度要求小于+/-0.5℃。）。</w:t>
      </w:r>
    </w:p>
    <w:p>
      <w:pPr>
        <w:pStyle w:val="105"/>
        <w:rPr>
          <w:rFonts w:ascii="宋体" w:hAnsi="宋体" w:eastAsia="宋体"/>
        </w:rPr>
      </w:pPr>
      <w:r>
        <w:rPr>
          <w:rFonts w:hint="eastAsia" w:ascii="宋体" w:hAnsi="宋体" w:eastAsia="宋体"/>
        </w:rPr>
        <w:t>将</w:t>
      </w:r>
      <w:r>
        <w:rPr>
          <w:rFonts w:hint="eastAsia"/>
        </w:rPr>
        <w:t>模块恢复至原有位置，将蓄电池包上盖与箱体按原有方式密封，并保持蓄电池包结构的完整性。</w:t>
      </w:r>
    </w:p>
    <w:p>
      <w:pPr>
        <w:pStyle w:val="105"/>
        <w:rPr>
          <w:rFonts w:ascii="宋体" w:hAnsi="宋体" w:eastAsia="宋体"/>
        </w:rPr>
      </w:pPr>
      <w:r>
        <w:rPr>
          <w:rFonts w:hint="eastAsia" w:ascii="宋体" w:hAnsi="宋体" w:eastAsia="宋体"/>
        </w:rPr>
        <w:t>启动加热装置对触发对象进行持续加热，直到出现如下条件之一后</w:t>
      </w:r>
      <w:r>
        <w:rPr>
          <w:rFonts w:ascii="宋体" w:hAnsi="宋体" w:eastAsia="宋体"/>
        </w:rPr>
        <w:t xml:space="preserve">, </w:t>
      </w:r>
      <w:r>
        <w:rPr>
          <w:rFonts w:hint="eastAsia" w:ascii="宋体" w:hAnsi="宋体" w:eastAsia="宋体"/>
        </w:rPr>
        <w:t>关闭加热装置。</w:t>
      </w:r>
    </w:p>
    <w:p>
      <w:pPr>
        <w:pStyle w:val="27"/>
        <w:numPr>
          <w:ilvl w:val="0"/>
          <w:numId w:val="19"/>
        </w:numPr>
        <w:tabs>
          <w:tab w:val="center" w:pos="709"/>
          <w:tab w:val="clear" w:pos="4201"/>
        </w:tabs>
        <w:ind w:firstLineChars="0"/>
        <w:rPr>
          <w:rFonts w:ascii="宋体" w:hAnsi="宋体" w:eastAsia="宋体"/>
        </w:rPr>
      </w:pPr>
      <w:r>
        <w:rPr>
          <w:rFonts w:hint="eastAsia" w:ascii="宋体" w:hAnsi="宋体" w:eastAsia="宋体"/>
        </w:rPr>
        <w:t>与加热装置直接接触的电芯测得的温度均超过</w:t>
      </w:r>
      <w:r>
        <w:rPr>
          <w:rFonts w:ascii="宋体" w:hAnsi="宋体" w:eastAsia="宋体"/>
        </w:rPr>
        <w:t>150℃，且任何一测量点测得的温升速率（dT/dt</w:t>
      </w:r>
      <w:r>
        <w:rPr>
          <w:rFonts w:hint="eastAsia" w:ascii="宋体" w:hAnsi="宋体" w:eastAsia="宋体"/>
        </w:rPr>
        <w:t>）超过</w:t>
      </w:r>
      <w:r>
        <w:rPr>
          <w:rFonts w:ascii="宋体" w:hAnsi="宋体" w:eastAsia="宋体"/>
        </w:rPr>
        <w:t>10℃/S</w:t>
      </w:r>
      <w:r>
        <w:rPr>
          <w:rFonts w:hint="eastAsia" w:ascii="宋体" w:hAnsi="宋体" w:eastAsia="宋体"/>
        </w:rPr>
        <w:t>；</w:t>
      </w:r>
    </w:p>
    <w:p>
      <w:pPr>
        <w:pStyle w:val="27"/>
        <w:numPr>
          <w:ilvl w:val="0"/>
          <w:numId w:val="19"/>
        </w:numPr>
        <w:tabs>
          <w:tab w:val="center" w:pos="709"/>
          <w:tab w:val="clear" w:pos="4201"/>
        </w:tabs>
        <w:ind w:firstLineChars="0"/>
        <w:rPr>
          <w:rFonts w:ascii="宋体" w:hAnsi="宋体" w:eastAsia="宋体"/>
        </w:rPr>
      </w:pPr>
      <w:r>
        <w:rPr>
          <w:rFonts w:hint="eastAsia" w:ascii="宋体" w:hAnsi="宋体" w:eastAsia="宋体"/>
          <w:szCs w:val="21"/>
        </w:rPr>
        <w:t>各测量点的温度超过</w:t>
      </w:r>
      <w:r>
        <w:rPr>
          <w:rFonts w:ascii="宋体" w:hAnsi="宋体" w:eastAsia="宋体"/>
          <w:szCs w:val="21"/>
        </w:rPr>
        <w:t>300℃，并持续5min</w:t>
      </w:r>
      <w:r>
        <w:rPr>
          <w:rFonts w:hint="eastAsia" w:ascii="宋体" w:hAnsi="宋体" w:eastAsia="宋体"/>
        </w:rPr>
        <w:t>。</w:t>
      </w:r>
    </w:p>
    <w:p>
      <w:pPr>
        <w:pStyle w:val="105"/>
      </w:pPr>
      <w:r>
        <w:rPr>
          <w:rFonts w:hint="eastAsia" w:ascii="宋体" w:hAnsi="宋体" w:eastAsia="宋体"/>
        </w:rPr>
        <w:t>加热过程中及加热结束</w:t>
      </w:r>
      <w:r>
        <w:rPr>
          <w:rFonts w:ascii="宋体" w:hAnsi="宋体" w:eastAsia="宋体"/>
        </w:rPr>
        <w:t>2</w:t>
      </w:r>
      <w:r>
        <w:rPr>
          <w:rFonts w:hint="eastAsia" w:ascii="宋体" w:hAnsi="宋体" w:eastAsia="宋体"/>
        </w:rPr>
        <w:t>h内，如果发生起火、爆炸现象，则试验终止。</w:t>
      </w:r>
    </w:p>
    <w:p>
      <w:pPr>
        <w:pStyle w:val="27"/>
        <w:rPr>
          <w:rFonts w:ascii="黑体" w:eastAsia="黑体"/>
        </w:rPr>
      </w:pPr>
      <w:r>
        <w:br w:type="page"/>
      </w:r>
    </w:p>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Pr>
        <w:pStyle w:val="99"/>
      </w:pPr>
      <w:bookmarkStart w:id="166" w:name="_Toc450582095"/>
      <w:bookmarkEnd w:id="166"/>
      <w:bookmarkStart w:id="167" w:name="_Toc450582273"/>
      <w:bookmarkEnd w:id="167"/>
      <w:bookmarkStart w:id="168" w:name="_Toc450582368"/>
      <w:bookmarkEnd w:id="168"/>
    </w:p>
    <w:p>
      <w:pPr>
        <w:pStyle w:val="88"/>
        <w:tabs>
          <w:tab w:val="clear" w:pos="0"/>
        </w:tabs>
      </w:pPr>
      <w:bookmarkStart w:id="169" w:name="_Toc450582096"/>
      <w:bookmarkEnd w:id="169"/>
      <w:bookmarkStart w:id="170" w:name="_Toc450582274"/>
      <w:bookmarkEnd w:id="170"/>
      <w:bookmarkStart w:id="171" w:name="_Toc450582369"/>
      <w:bookmarkEnd w:id="171"/>
    </w:p>
    <w:p>
      <w:pPr>
        <w:pStyle w:val="86"/>
        <w:spacing w:after="0"/>
        <w:ind w:left="0"/>
        <w:rPr>
          <w:sz w:val="24"/>
        </w:rPr>
      </w:pPr>
      <w:r>
        <w:rPr>
          <w:sz w:val="24"/>
        </w:rPr>
        <w:br w:clear="all"/>
      </w:r>
      <w:bookmarkStart w:id="172" w:name="_Toc452750841"/>
      <w:r>
        <w:rPr>
          <w:rFonts w:hint="eastAsia"/>
          <w:sz w:val="24"/>
        </w:rPr>
        <w:t>车载终端功能</w:t>
      </w:r>
      <w:bookmarkEnd w:id="172"/>
    </w:p>
    <w:p>
      <w:pPr>
        <w:jc w:val="center"/>
        <w:rPr>
          <w:rFonts w:ascii="黑体" w:eastAsia="黑体"/>
          <w:kern w:val="0"/>
          <w:szCs w:val="20"/>
        </w:rPr>
      </w:pPr>
      <w:r>
        <w:rPr>
          <w:rFonts w:hint="eastAsia" w:ascii="黑体" w:eastAsia="黑体"/>
          <w:kern w:val="0"/>
          <w:szCs w:val="20"/>
        </w:rPr>
        <w:t>（规范性附录）</w:t>
      </w:r>
    </w:p>
    <w:p>
      <w:pPr>
        <w:pStyle w:val="103"/>
        <w:spacing w:before="312" w:after="312"/>
      </w:pPr>
      <w:r>
        <w:rPr>
          <w:rFonts w:hint="eastAsia"/>
          <w:sz w:val="24"/>
        </w:rPr>
        <w:t>车载终端</w:t>
      </w:r>
      <w:r>
        <w:rPr>
          <w:rFonts w:hint="eastAsia"/>
        </w:rPr>
        <w:t>功能</w:t>
      </w:r>
    </w:p>
    <w:p>
      <w:pPr>
        <w:pStyle w:val="114"/>
        <w:numPr>
          <w:numId w:val="0"/>
        </w:numPr>
        <w:spacing w:before="0" w:after="0"/>
        <w:ind w:firstLine="480" w:firstLineChars="200"/>
      </w:pPr>
      <w:r>
        <w:rPr>
          <w:rFonts w:hint="eastAsia"/>
          <w:sz w:val="24"/>
        </w:rPr>
        <w:t>车载终端</w:t>
      </w:r>
      <w:r>
        <w:rPr>
          <w:rFonts w:hint="eastAsia"/>
        </w:rPr>
        <w:t>应具备以下功能：</w:t>
      </w:r>
    </w:p>
    <w:p>
      <w:pPr>
        <w:pStyle w:val="51"/>
        <w:ind w:left="851"/>
      </w:pPr>
      <w:r>
        <w:rPr>
          <w:rFonts w:hint="eastAsia"/>
        </w:rPr>
        <w:t>实时上传车辆故障和安全预警信息。根据可能对车辆造成的安全隐患严重程度，对故障和报警进行分级管理，不同的级别应设置相应的处置措施。</w:t>
      </w:r>
    </w:p>
    <w:p>
      <w:pPr>
        <w:pStyle w:val="51"/>
        <w:ind w:left="851"/>
      </w:pPr>
      <w:r>
        <w:rPr>
          <w:rFonts w:hint="eastAsia"/>
        </w:rPr>
        <w:t>实时上传车辆状态信息、驱动电机数据、蓄电池包数据、行车数据、充电过程数据及异常报警数据的功能，监控数据项目应包含但不限于表D.1的内容。</w:t>
      </w:r>
    </w:p>
    <w:p>
      <w:pPr>
        <w:pStyle w:val="51"/>
        <w:ind w:left="851"/>
      </w:pPr>
      <w:r>
        <w:rPr>
          <w:rFonts w:hint="eastAsia"/>
        </w:rPr>
        <w:t>远程提醒功能，将故障及报警信息通知维修服务人员。</w:t>
      </w:r>
    </w:p>
    <w:p>
      <w:pPr>
        <w:rPr>
          <w:rFonts w:ascii="黑体" w:eastAsia="黑体"/>
          <w:kern w:val="0"/>
          <w:szCs w:val="20"/>
        </w:rPr>
      </w:pPr>
    </w:p>
    <w:p>
      <w:pPr>
        <w:jc w:val="center"/>
        <w:rPr>
          <w:rFonts w:ascii="黑体" w:eastAsia="黑体"/>
          <w:kern w:val="0"/>
          <w:szCs w:val="20"/>
        </w:rPr>
      </w:pPr>
      <w:r>
        <w:rPr>
          <w:rFonts w:hint="eastAsia" w:ascii="黑体" w:eastAsia="黑体"/>
          <w:kern w:val="0"/>
          <w:szCs w:val="20"/>
        </w:rPr>
        <w:t>表D.1监控项目</w:t>
      </w:r>
    </w:p>
    <w:tbl>
      <w:tblPr>
        <w:tblStyle w:val="43"/>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435"/>
        <w:gridCol w:w="1104"/>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tblHeader/>
          <w:jc w:val="center"/>
        </w:trPr>
        <w:tc>
          <w:tcPr>
            <w:tcW w:w="3435" w:type="dxa"/>
            <w:vAlign w:val="center"/>
          </w:tcPr>
          <w:p>
            <w:pPr>
              <w:widowControl/>
              <w:jc w:val="center"/>
              <w:rPr>
                <w:rFonts w:ascii="宋体" w:hAnsi="宋体" w:cs="宋体"/>
                <w:b/>
                <w:kern w:val="0"/>
                <w:sz w:val="18"/>
                <w:szCs w:val="18"/>
              </w:rPr>
            </w:pPr>
            <w:r>
              <w:rPr>
                <w:rFonts w:hint="eastAsia" w:ascii="宋体" w:hAnsi="宋体" w:cs="宋体"/>
                <w:b/>
                <w:kern w:val="0"/>
                <w:sz w:val="18"/>
                <w:szCs w:val="18"/>
              </w:rPr>
              <w:t>信息类型</w:t>
            </w:r>
          </w:p>
        </w:tc>
        <w:tc>
          <w:tcPr>
            <w:tcW w:w="1104" w:type="dxa"/>
            <w:vAlign w:val="center"/>
          </w:tcPr>
          <w:p>
            <w:pPr>
              <w:widowControl/>
              <w:jc w:val="center"/>
              <w:rPr>
                <w:rFonts w:ascii="宋体" w:hAnsi="宋体" w:cs="宋体"/>
                <w:b/>
                <w:kern w:val="0"/>
                <w:sz w:val="18"/>
                <w:szCs w:val="18"/>
              </w:rPr>
            </w:pPr>
            <w:r>
              <w:rPr>
                <w:rFonts w:hint="eastAsia" w:ascii="宋体" w:hAnsi="宋体" w:cs="宋体"/>
                <w:b/>
                <w:kern w:val="0"/>
                <w:sz w:val="18"/>
                <w:szCs w:val="18"/>
              </w:rPr>
              <w:t>序号</w:t>
            </w:r>
          </w:p>
        </w:tc>
        <w:tc>
          <w:tcPr>
            <w:tcW w:w="3911" w:type="dxa"/>
            <w:vAlign w:val="center"/>
          </w:tcPr>
          <w:p>
            <w:pPr>
              <w:widowControl/>
              <w:jc w:val="center"/>
              <w:rPr>
                <w:rFonts w:ascii="宋体" w:hAnsi="宋体" w:cs="宋体"/>
                <w:b/>
                <w:kern w:val="0"/>
                <w:sz w:val="18"/>
                <w:szCs w:val="18"/>
              </w:rPr>
            </w:pPr>
            <w:r>
              <w:rPr>
                <w:rFonts w:hint="eastAsia" w:ascii="宋体" w:hAnsi="宋体" w:cs="宋体"/>
                <w:b/>
                <w:kern w:val="0"/>
                <w:sz w:val="18"/>
                <w:szCs w:val="1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jc w:val="center"/>
        </w:trPr>
        <w:tc>
          <w:tcPr>
            <w:tcW w:w="3435" w:type="dxa"/>
            <w:vAlign w:val="center"/>
          </w:tcPr>
          <w:p>
            <w:pPr>
              <w:widowControl/>
              <w:jc w:val="center"/>
              <w:rPr>
                <w:rFonts w:ascii="宋体" w:hAnsi="宋体" w:cs="宋体"/>
                <w:kern w:val="0"/>
                <w:sz w:val="18"/>
                <w:szCs w:val="18"/>
              </w:rPr>
            </w:pPr>
            <w:r>
              <w:rPr>
                <w:rFonts w:hint="eastAsia" w:ascii="宋体" w:hAnsi="宋体" w:cs="宋体"/>
                <w:kern w:val="0"/>
                <w:sz w:val="18"/>
                <w:szCs w:val="18"/>
              </w:rPr>
              <w:t>车辆基本信息</w:t>
            </w: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3911" w:type="dxa"/>
            <w:vAlign w:val="center"/>
          </w:tcPr>
          <w:p>
            <w:pPr>
              <w:widowControl/>
              <w:rPr>
                <w:rFonts w:ascii="宋体" w:hAnsi="宋体" w:cs="宋体"/>
                <w:kern w:val="0"/>
                <w:sz w:val="18"/>
                <w:szCs w:val="18"/>
              </w:rPr>
            </w:pPr>
            <w:r>
              <w:rPr>
                <w:rFonts w:hint="eastAsia" w:ascii="宋体" w:hAnsi="宋体" w:cs="宋体"/>
                <w:kern w:val="0"/>
                <w:sz w:val="18"/>
                <w:szCs w:val="18"/>
              </w:rPr>
              <w:t>车辆识别代号(VIN)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jc w:val="center"/>
        </w:trPr>
        <w:tc>
          <w:tcPr>
            <w:tcW w:w="3435" w:type="dxa"/>
            <w:vMerge w:val="restart"/>
            <w:vAlign w:val="center"/>
          </w:tcPr>
          <w:p>
            <w:pPr>
              <w:jc w:val="center"/>
              <w:rPr>
                <w:rFonts w:ascii="宋体" w:hAnsi="宋体" w:cs="宋体"/>
                <w:b/>
                <w:kern w:val="0"/>
                <w:sz w:val="18"/>
                <w:szCs w:val="18"/>
              </w:rPr>
            </w:pPr>
            <w:r>
              <w:rPr>
                <w:rFonts w:hint="eastAsia" w:ascii="宋体" w:hAnsi="宋体" w:cs="宋体"/>
                <w:kern w:val="0"/>
                <w:sz w:val="18"/>
                <w:szCs w:val="18"/>
              </w:rPr>
              <w:t>车辆状态数据</w:t>
            </w:r>
          </w:p>
        </w:tc>
        <w:tc>
          <w:tcPr>
            <w:tcW w:w="1104" w:type="dxa"/>
            <w:vAlign w:val="center"/>
          </w:tcPr>
          <w:p>
            <w:pPr>
              <w:widowControl/>
              <w:jc w:val="center"/>
              <w:rPr>
                <w:rFonts w:ascii="宋体" w:hAnsi="宋体" w:cs="宋体"/>
                <w:b/>
                <w:kern w:val="0"/>
                <w:sz w:val="18"/>
                <w:szCs w:val="18"/>
              </w:rPr>
            </w:pPr>
            <w:r>
              <w:rPr>
                <w:rFonts w:hint="eastAsia" w:ascii="宋体" w:hAnsi="宋体" w:cs="宋体"/>
                <w:kern w:val="0"/>
                <w:sz w:val="18"/>
                <w:szCs w:val="18"/>
              </w:rPr>
              <w:t>1</w:t>
            </w:r>
          </w:p>
        </w:tc>
        <w:tc>
          <w:tcPr>
            <w:tcW w:w="3911" w:type="dxa"/>
            <w:vAlign w:val="center"/>
          </w:tcPr>
          <w:p>
            <w:pPr>
              <w:widowControl/>
              <w:jc w:val="left"/>
              <w:rPr>
                <w:rFonts w:ascii="宋体" w:hAnsi="宋体" w:cs="宋体"/>
                <w:b/>
                <w:kern w:val="0"/>
                <w:sz w:val="18"/>
                <w:szCs w:val="18"/>
              </w:rPr>
            </w:pPr>
            <w:r>
              <w:rPr>
                <w:rFonts w:hint="eastAsia" w:ascii="宋体" w:hAnsi="宋体" w:cs="宋体"/>
                <w:kern w:val="0"/>
                <w:sz w:val="18"/>
                <w:szCs w:val="18"/>
              </w:rPr>
              <w:t>累计行驶里程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jc w:val="center"/>
        </w:trPr>
        <w:tc>
          <w:tcPr>
            <w:tcW w:w="3435" w:type="dxa"/>
            <w:vMerge w:val="continue"/>
            <w:vAlign w:val="center"/>
          </w:tcPr>
          <w:p>
            <w:pPr>
              <w:widowControl/>
              <w:jc w:val="center"/>
              <w:rPr>
                <w:rFonts w:ascii="宋体" w:hAnsi="宋体" w:cs="宋体"/>
                <w:b/>
                <w:kern w:val="0"/>
                <w:sz w:val="18"/>
                <w:szCs w:val="18"/>
              </w:rPr>
            </w:pPr>
          </w:p>
        </w:tc>
        <w:tc>
          <w:tcPr>
            <w:tcW w:w="1104" w:type="dxa"/>
            <w:vAlign w:val="center"/>
          </w:tcPr>
          <w:p>
            <w:pPr>
              <w:widowControl/>
              <w:jc w:val="center"/>
              <w:rPr>
                <w:rFonts w:ascii="宋体" w:hAnsi="宋体" w:cs="宋体"/>
                <w:b/>
                <w:kern w:val="0"/>
                <w:sz w:val="18"/>
                <w:szCs w:val="18"/>
              </w:rPr>
            </w:pPr>
            <w:r>
              <w:rPr>
                <w:rFonts w:hint="eastAsia" w:ascii="宋体" w:hAnsi="宋体" w:cs="宋体"/>
                <w:kern w:val="0"/>
                <w:sz w:val="18"/>
                <w:szCs w:val="18"/>
              </w:rPr>
              <w:t>2</w:t>
            </w:r>
          </w:p>
        </w:tc>
        <w:tc>
          <w:tcPr>
            <w:tcW w:w="3911" w:type="dxa"/>
            <w:vAlign w:val="center"/>
          </w:tcPr>
          <w:p>
            <w:pPr>
              <w:widowControl/>
              <w:jc w:val="left"/>
              <w:rPr>
                <w:rFonts w:ascii="宋体" w:hAnsi="宋体" w:cs="宋体"/>
                <w:b/>
                <w:kern w:val="0"/>
                <w:sz w:val="18"/>
                <w:szCs w:val="18"/>
              </w:rPr>
            </w:pPr>
            <w:r>
              <w:rPr>
                <w:rFonts w:hint="eastAsia" w:ascii="宋体" w:hAnsi="宋体" w:cs="宋体"/>
                <w:kern w:val="0"/>
                <w:sz w:val="18"/>
                <w:szCs w:val="18"/>
              </w:rPr>
              <w:t>电机母线电流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jc w:val="center"/>
        </w:trPr>
        <w:tc>
          <w:tcPr>
            <w:tcW w:w="3435" w:type="dxa"/>
            <w:vMerge w:val="continue"/>
            <w:vAlign w:val="center"/>
          </w:tcPr>
          <w:p>
            <w:pPr>
              <w:widowControl/>
              <w:jc w:val="center"/>
              <w:rPr>
                <w:rFonts w:ascii="宋体" w:hAnsi="宋体" w:cs="宋体"/>
                <w:b/>
                <w:kern w:val="0"/>
                <w:sz w:val="18"/>
                <w:szCs w:val="18"/>
              </w:rPr>
            </w:pPr>
          </w:p>
        </w:tc>
        <w:tc>
          <w:tcPr>
            <w:tcW w:w="1104" w:type="dxa"/>
            <w:vAlign w:val="center"/>
          </w:tcPr>
          <w:p>
            <w:pPr>
              <w:widowControl/>
              <w:jc w:val="center"/>
              <w:rPr>
                <w:rFonts w:ascii="宋体" w:hAnsi="宋体" w:cs="宋体"/>
                <w:b/>
                <w:kern w:val="0"/>
                <w:sz w:val="18"/>
                <w:szCs w:val="18"/>
              </w:rPr>
            </w:pPr>
            <w:r>
              <w:rPr>
                <w:rFonts w:hint="eastAsia" w:ascii="宋体" w:hAnsi="宋体" w:cs="宋体"/>
                <w:kern w:val="0"/>
                <w:sz w:val="18"/>
                <w:szCs w:val="18"/>
              </w:rPr>
              <w:t>3</w:t>
            </w:r>
          </w:p>
        </w:tc>
        <w:tc>
          <w:tcPr>
            <w:tcW w:w="3911" w:type="dxa"/>
            <w:vAlign w:val="center"/>
          </w:tcPr>
          <w:p>
            <w:pPr>
              <w:widowControl/>
              <w:jc w:val="left"/>
              <w:rPr>
                <w:rFonts w:ascii="宋体" w:hAnsi="宋体" w:cs="宋体"/>
                <w:b/>
                <w:kern w:val="0"/>
                <w:sz w:val="18"/>
                <w:szCs w:val="18"/>
              </w:rPr>
            </w:pPr>
            <w:r>
              <w:rPr>
                <w:rFonts w:hint="eastAsia" w:ascii="宋体" w:hAnsi="宋体" w:cs="宋体"/>
                <w:kern w:val="0"/>
                <w:sz w:val="18"/>
                <w:szCs w:val="18"/>
              </w:rPr>
              <w:t>加速踏板行程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jc w:val="center"/>
        </w:trPr>
        <w:tc>
          <w:tcPr>
            <w:tcW w:w="3435" w:type="dxa"/>
            <w:vMerge w:val="continue"/>
            <w:vAlign w:val="center"/>
          </w:tcPr>
          <w:p>
            <w:pPr>
              <w:widowControl/>
              <w:jc w:val="center"/>
              <w:rPr>
                <w:rFonts w:ascii="宋体" w:hAnsi="宋体" w:cs="宋体"/>
                <w:b/>
                <w:kern w:val="0"/>
                <w:sz w:val="18"/>
                <w:szCs w:val="18"/>
              </w:rPr>
            </w:pPr>
          </w:p>
        </w:tc>
        <w:tc>
          <w:tcPr>
            <w:tcW w:w="1104" w:type="dxa"/>
            <w:vAlign w:val="center"/>
          </w:tcPr>
          <w:p>
            <w:pPr>
              <w:widowControl/>
              <w:jc w:val="center"/>
              <w:rPr>
                <w:rFonts w:ascii="宋体" w:hAnsi="宋体" w:cs="宋体"/>
                <w:b/>
                <w:kern w:val="0"/>
                <w:sz w:val="18"/>
                <w:szCs w:val="18"/>
              </w:rPr>
            </w:pPr>
            <w:r>
              <w:rPr>
                <w:rFonts w:hint="eastAsia" w:ascii="宋体" w:hAnsi="宋体" w:cs="宋体"/>
                <w:kern w:val="0"/>
                <w:sz w:val="18"/>
                <w:szCs w:val="18"/>
              </w:rPr>
              <w:t>4</w:t>
            </w:r>
          </w:p>
        </w:tc>
        <w:tc>
          <w:tcPr>
            <w:tcW w:w="3911" w:type="dxa"/>
            <w:vAlign w:val="center"/>
          </w:tcPr>
          <w:p>
            <w:pPr>
              <w:widowControl/>
              <w:jc w:val="left"/>
              <w:rPr>
                <w:rFonts w:ascii="宋体" w:hAnsi="宋体" w:cs="宋体"/>
                <w:b/>
                <w:kern w:val="0"/>
                <w:sz w:val="18"/>
                <w:szCs w:val="18"/>
              </w:rPr>
            </w:pPr>
            <w:r>
              <w:rPr>
                <w:rFonts w:hint="eastAsia" w:ascii="宋体" w:hAnsi="宋体" w:cs="宋体"/>
                <w:kern w:val="0"/>
                <w:sz w:val="18"/>
                <w:szCs w:val="18"/>
              </w:rPr>
              <w:t>制动踏板状态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jc w:val="center"/>
        </w:trPr>
        <w:tc>
          <w:tcPr>
            <w:tcW w:w="3435" w:type="dxa"/>
            <w:vMerge w:val="continue"/>
            <w:vAlign w:val="center"/>
          </w:tcPr>
          <w:p>
            <w:pPr>
              <w:widowControl/>
              <w:jc w:val="center"/>
              <w:rPr>
                <w:rFonts w:ascii="宋体" w:hAnsi="宋体" w:cs="宋体"/>
                <w:b/>
                <w:kern w:val="0"/>
                <w:sz w:val="18"/>
                <w:szCs w:val="18"/>
              </w:rPr>
            </w:pPr>
          </w:p>
        </w:tc>
        <w:tc>
          <w:tcPr>
            <w:tcW w:w="1104" w:type="dxa"/>
            <w:vAlign w:val="center"/>
          </w:tcPr>
          <w:p>
            <w:pPr>
              <w:widowControl/>
              <w:jc w:val="center"/>
              <w:rPr>
                <w:rFonts w:ascii="宋体" w:hAnsi="宋体" w:cs="宋体"/>
                <w:b/>
                <w:kern w:val="0"/>
                <w:sz w:val="18"/>
                <w:szCs w:val="18"/>
              </w:rPr>
            </w:pPr>
            <w:r>
              <w:rPr>
                <w:rFonts w:hint="eastAsia" w:ascii="宋体" w:hAnsi="宋体" w:cs="宋体"/>
                <w:kern w:val="0"/>
                <w:sz w:val="18"/>
                <w:szCs w:val="18"/>
              </w:rPr>
              <w:t>5</w:t>
            </w:r>
          </w:p>
        </w:tc>
        <w:tc>
          <w:tcPr>
            <w:tcW w:w="3911" w:type="dxa"/>
            <w:vAlign w:val="center"/>
          </w:tcPr>
          <w:p>
            <w:pPr>
              <w:widowControl/>
              <w:jc w:val="left"/>
              <w:rPr>
                <w:rFonts w:ascii="宋体" w:hAnsi="宋体" w:cs="宋体"/>
                <w:b/>
                <w:kern w:val="0"/>
                <w:sz w:val="18"/>
                <w:szCs w:val="18"/>
              </w:rPr>
            </w:pPr>
            <w:r>
              <w:rPr>
                <w:rFonts w:hint="eastAsia" w:ascii="宋体" w:hAnsi="宋体" w:cs="宋体"/>
                <w:kern w:val="0"/>
                <w:sz w:val="18"/>
                <w:szCs w:val="18"/>
              </w:rPr>
              <w:t>动力系统就绪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jc w:val="center"/>
        </w:trPr>
        <w:tc>
          <w:tcPr>
            <w:tcW w:w="3435" w:type="dxa"/>
            <w:vMerge w:val="continue"/>
            <w:vAlign w:val="center"/>
          </w:tcPr>
          <w:p>
            <w:pPr>
              <w:widowControl/>
              <w:jc w:val="center"/>
              <w:rPr>
                <w:rFonts w:ascii="宋体" w:hAnsi="宋体" w:cs="宋体"/>
                <w:b/>
                <w:kern w:val="0"/>
                <w:sz w:val="18"/>
                <w:szCs w:val="18"/>
              </w:rPr>
            </w:pPr>
          </w:p>
        </w:tc>
        <w:tc>
          <w:tcPr>
            <w:tcW w:w="1104" w:type="dxa"/>
            <w:vAlign w:val="center"/>
          </w:tcPr>
          <w:p>
            <w:pPr>
              <w:widowControl/>
              <w:jc w:val="center"/>
              <w:rPr>
                <w:rFonts w:ascii="宋体" w:hAnsi="宋体" w:cs="宋体"/>
                <w:b/>
                <w:kern w:val="0"/>
                <w:sz w:val="18"/>
                <w:szCs w:val="18"/>
              </w:rPr>
            </w:pPr>
            <w:r>
              <w:rPr>
                <w:rFonts w:hint="eastAsia" w:ascii="宋体" w:hAnsi="宋体" w:cs="宋体"/>
                <w:kern w:val="0"/>
                <w:sz w:val="18"/>
                <w:szCs w:val="18"/>
              </w:rPr>
              <w:t>6</w:t>
            </w:r>
          </w:p>
        </w:tc>
        <w:tc>
          <w:tcPr>
            <w:tcW w:w="3911" w:type="dxa"/>
            <w:vAlign w:val="center"/>
          </w:tcPr>
          <w:p>
            <w:pPr>
              <w:widowControl/>
              <w:jc w:val="left"/>
              <w:rPr>
                <w:rFonts w:ascii="宋体" w:hAnsi="宋体" w:cs="宋体"/>
                <w:b/>
                <w:kern w:val="0"/>
                <w:sz w:val="18"/>
                <w:szCs w:val="18"/>
              </w:rPr>
            </w:pPr>
            <w:r>
              <w:rPr>
                <w:rFonts w:hint="eastAsia" w:ascii="宋体" w:hAnsi="宋体" w:cs="宋体"/>
                <w:kern w:val="0"/>
                <w:sz w:val="18"/>
                <w:szCs w:val="18"/>
              </w:rPr>
              <w:t>紧急下电请求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jc w:val="center"/>
        </w:trPr>
        <w:tc>
          <w:tcPr>
            <w:tcW w:w="3435" w:type="dxa"/>
            <w:vMerge w:val="continue"/>
            <w:vAlign w:val="center"/>
          </w:tcPr>
          <w:p>
            <w:pPr>
              <w:widowControl/>
              <w:jc w:val="center"/>
              <w:rPr>
                <w:rFonts w:ascii="宋体" w:hAnsi="宋体" w:cs="宋体"/>
                <w:b/>
                <w:kern w:val="0"/>
                <w:sz w:val="18"/>
                <w:szCs w:val="18"/>
              </w:rPr>
            </w:pPr>
          </w:p>
        </w:tc>
        <w:tc>
          <w:tcPr>
            <w:tcW w:w="1104" w:type="dxa"/>
            <w:vAlign w:val="center"/>
          </w:tcPr>
          <w:p>
            <w:pPr>
              <w:widowControl/>
              <w:jc w:val="center"/>
              <w:rPr>
                <w:rFonts w:ascii="宋体" w:hAnsi="宋体" w:cs="宋体"/>
                <w:b/>
                <w:kern w:val="0"/>
                <w:sz w:val="18"/>
                <w:szCs w:val="18"/>
              </w:rPr>
            </w:pPr>
            <w:r>
              <w:rPr>
                <w:rFonts w:hint="eastAsia" w:ascii="宋体" w:hAnsi="宋体" w:cs="宋体"/>
                <w:kern w:val="0"/>
                <w:sz w:val="18"/>
                <w:szCs w:val="18"/>
              </w:rPr>
              <w:t>7</w:t>
            </w:r>
          </w:p>
        </w:tc>
        <w:tc>
          <w:tcPr>
            <w:tcW w:w="3911" w:type="dxa"/>
            <w:vAlign w:val="center"/>
          </w:tcPr>
          <w:p>
            <w:pPr>
              <w:widowControl/>
              <w:jc w:val="left"/>
              <w:rPr>
                <w:rFonts w:ascii="宋体" w:hAnsi="宋体" w:cs="宋体"/>
                <w:b/>
                <w:kern w:val="0"/>
                <w:sz w:val="18"/>
                <w:szCs w:val="18"/>
              </w:rPr>
            </w:pPr>
            <w:r>
              <w:rPr>
                <w:rFonts w:hint="eastAsia" w:ascii="宋体" w:hAnsi="宋体" w:cs="宋体"/>
                <w:kern w:val="0"/>
                <w:sz w:val="18"/>
                <w:szCs w:val="18"/>
              </w:rPr>
              <w:t>车辆当前状态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jc w:val="center"/>
        </w:trPr>
        <w:tc>
          <w:tcPr>
            <w:tcW w:w="3435" w:type="dxa"/>
            <w:vMerge w:val="restart"/>
            <w:vAlign w:val="center"/>
          </w:tcPr>
          <w:p>
            <w:pPr>
              <w:widowControl/>
              <w:jc w:val="center"/>
              <w:rPr>
                <w:rFonts w:ascii="宋体" w:hAnsi="宋体" w:cs="宋体"/>
                <w:b/>
                <w:kern w:val="0"/>
                <w:sz w:val="18"/>
                <w:szCs w:val="18"/>
              </w:rPr>
            </w:pPr>
            <w:r>
              <w:rPr>
                <w:rFonts w:hint="eastAsia" w:ascii="宋体" w:hAnsi="宋体" w:cs="宋体"/>
                <w:kern w:val="0"/>
                <w:sz w:val="18"/>
                <w:szCs w:val="18"/>
              </w:rPr>
              <w:t>行车数据</w:t>
            </w: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定位状态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jc w:val="center"/>
        </w:trPr>
        <w:tc>
          <w:tcPr>
            <w:tcW w:w="3435" w:type="dxa"/>
            <w:vMerge w:val="continue"/>
            <w:vAlign w:val="center"/>
          </w:tcPr>
          <w:p>
            <w:pPr>
              <w:widowControl/>
              <w:jc w:val="center"/>
              <w:rPr>
                <w:rFonts w:ascii="宋体" w:hAnsi="宋体" w:cs="宋体"/>
                <w:b/>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jc w:val="center"/>
        </w:trPr>
        <w:tc>
          <w:tcPr>
            <w:tcW w:w="3435" w:type="dxa"/>
            <w:vMerge w:val="continue"/>
            <w:vAlign w:val="center"/>
          </w:tcPr>
          <w:p>
            <w:pPr>
              <w:widowControl/>
              <w:jc w:val="center"/>
              <w:rPr>
                <w:rFonts w:ascii="宋体" w:hAnsi="宋体" w:cs="宋体"/>
                <w:b/>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jc w:val="center"/>
        </w:trPr>
        <w:tc>
          <w:tcPr>
            <w:tcW w:w="3435" w:type="dxa"/>
            <w:vMerge w:val="continue"/>
            <w:vAlign w:val="center"/>
          </w:tcPr>
          <w:p>
            <w:pPr>
              <w:widowControl/>
              <w:jc w:val="center"/>
              <w:rPr>
                <w:rFonts w:ascii="宋体" w:hAnsi="宋体" w:cs="宋体"/>
                <w:b/>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0" w:hRule="atLeast"/>
          <w:jc w:val="center"/>
        </w:trPr>
        <w:tc>
          <w:tcPr>
            <w:tcW w:w="3435" w:type="dxa"/>
            <w:vMerge w:val="continue"/>
            <w:vAlign w:val="center"/>
          </w:tcPr>
          <w:p>
            <w:pPr>
              <w:widowControl/>
              <w:jc w:val="center"/>
              <w:rPr>
                <w:rFonts w:ascii="宋体" w:hAnsi="宋体" w:cs="宋体"/>
                <w:b/>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5" w:hRule="atLeast"/>
          <w:jc w:val="center"/>
        </w:trPr>
        <w:tc>
          <w:tcPr>
            <w:tcW w:w="3435" w:type="dxa"/>
            <w:vMerge w:val="restart"/>
            <w:vAlign w:val="center"/>
          </w:tcPr>
          <w:p>
            <w:pPr>
              <w:widowControl/>
              <w:jc w:val="center"/>
              <w:rPr>
                <w:rFonts w:ascii="宋体" w:hAnsi="宋体" w:cs="宋体"/>
                <w:kern w:val="0"/>
                <w:sz w:val="18"/>
                <w:szCs w:val="18"/>
              </w:rPr>
            </w:pPr>
          </w:p>
          <w:p>
            <w:pPr>
              <w:jc w:val="center"/>
              <w:rPr>
                <w:rFonts w:ascii="宋体" w:hAnsi="宋体" w:cs="宋体"/>
                <w:kern w:val="0"/>
                <w:sz w:val="18"/>
                <w:szCs w:val="18"/>
              </w:rPr>
            </w:pPr>
            <w:r>
              <w:rPr>
                <w:rFonts w:hint="eastAsia" w:ascii="宋体" w:hAnsi="宋体" w:cs="宋体"/>
                <w:kern w:val="0"/>
                <w:sz w:val="18"/>
                <w:szCs w:val="18"/>
              </w:rPr>
              <w:t>蓄电池包数据</w:t>
            </w: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蓄电池包总电压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87" w:hRule="atLeast"/>
          <w:jc w:val="center"/>
        </w:trPr>
        <w:tc>
          <w:tcPr>
            <w:tcW w:w="3435" w:type="dxa"/>
            <w:vMerge w:val="continue"/>
            <w:vAlign w:val="center"/>
          </w:tcPr>
          <w:p>
            <w:pPr>
              <w:jc w:val="center"/>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蓄电池包总电流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3" w:hRule="atLeast"/>
          <w:jc w:val="center"/>
        </w:trPr>
        <w:tc>
          <w:tcPr>
            <w:tcW w:w="3435" w:type="dxa"/>
            <w:vMerge w:val="continue"/>
            <w:vAlign w:val="center"/>
          </w:tcPr>
          <w:p>
            <w:pPr>
              <w:jc w:val="center"/>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蓄电池包容量SOC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3" w:hRule="atLeast"/>
          <w:jc w:val="center"/>
        </w:trPr>
        <w:tc>
          <w:tcPr>
            <w:tcW w:w="3435" w:type="dxa"/>
            <w:vMerge w:val="continue"/>
            <w:vAlign w:val="center"/>
          </w:tcPr>
          <w:p>
            <w:pPr>
              <w:widowControl/>
              <w:jc w:val="center"/>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最高单体蓄电池电压及单体号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3" w:hRule="atLeast"/>
          <w:jc w:val="center"/>
        </w:trPr>
        <w:tc>
          <w:tcPr>
            <w:tcW w:w="3435" w:type="dxa"/>
            <w:vMerge w:val="continue"/>
            <w:vAlign w:val="center"/>
          </w:tcPr>
          <w:p>
            <w:pPr>
              <w:widowControl/>
              <w:jc w:val="center"/>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最低单体蓄电池电压及单体号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3" w:hRule="atLeast"/>
          <w:jc w:val="center"/>
        </w:trPr>
        <w:tc>
          <w:tcPr>
            <w:tcW w:w="3435" w:type="dxa"/>
            <w:vMerge w:val="continue"/>
            <w:vAlign w:val="center"/>
          </w:tcPr>
          <w:p>
            <w:pPr>
              <w:widowControl/>
              <w:jc w:val="center"/>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最高单体蓄电池温度及单体号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3" w:hRule="atLeast"/>
          <w:jc w:val="center"/>
        </w:trPr>
        <w:tc>
          <w:tcPr>
            <w:tcW w:w="3435" w:type="dxa"/>
            <w:vMerge w:val="continue"/>
            <w:vAlign w:val="center"/>
          </w:tcPr>
          <w:p>
            <w:pPr>
              <w:widowControl/>
              <w:jc w:val="center"/>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最低单体蓄电池温度及单体号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jc w:val="center"/>
        </w:trPr>
        <w:tc>
          <w:tcPr>
            <w:tcW w:w="3435"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驱动电机数据</w:t>
            </w: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电机控制器温度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jc w:val="center"/>
        </w:trPr>
        <w:tc>
          <w:tcPr>
            <w:tcW w:w="3435" w:type="dxa"/>
            <w:vMerge w:val="continue"/>
            <w:vAlign w:val="center"/>
          </w:tcPr>
          <w:p>
            <w:pPr>
              <w:widowControl/>
              <w:jc w:val="left"/>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电机转速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7" w:hRule="atLeast"/>
          <w:jc w:val="center"/>
        </w:trPr>
        <w:tc>
          <w:tcPr>
            <w:tcW w:w="3435" w:type="dxa"/>
            <w:vMerge w:val="continue"/>
            <w:vAlign w:val="center"/>
          </w:tcPr>
          <w:p>
            <w:pPr>
              <w:widowControl/>
              <w:jc w:val="left"/>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电机温度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7" w:hRule="atLeast"/>
          <w:jc w:val="center"/>
        </w:trPr>
        <w:tc>
          <w:tcPr>
            <w:tcW w:w="3435"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充电状态数据</w:t>
            </w: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充电电压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7" w:hRule="atLeast"/>
          <w:jc w:val="center"/>
        </w:trPr>
        <w:tc>
          <w:tcPr>
            <w:tcW w:w="3435" w:type="dxa"/>
            <w:vMerge w:val="continue"/>
            <w:vAlign w:val="center"/>
          </w:tcPr>
          <w:p>
            <w:pPr>
              <w:widowControl/>
              <w:jc w:val="center"/>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充电电流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7" w:hRule="atLeast"/>
          <w:jc w:val="center"/>
        </w:trPr>
        <w:tc>
          <w:tcPr>
            <w:tcW w:w="3435" w:type="dxa"/>
            <w:vMerge w:val="continue"/>
            <w:vAlign w:val="center"/>
          </w:tcPr>
          <w:p>
            <w:pPr>
              <w:widowControl/>
              <w:jc w:val="center"/>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充电电量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7" w:hRule="atLeast"/>
          <w:jc w:val="center"/>
        </w:trPr>
        <w:tc>
          <w:tcPr>
            <w:tcW w:w="3435" w:type="dxa"/>
            <w:vMerge w:val="continue"/>
            <w:vAlign w:val="center"/>
          </w:tcPr>
          <w:p>
            <w:pPr>
              <w:widowControl/>
              <w:jc w:val="center"/>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9" w:hRule="atLeast"/>
          <w:jc w:val="center"/>
        </w:trPr>
        <w:tc>
          <w:tcPr>
            <w:tcW w:w="3435"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异常报警数据</w:t>
            </w: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高压绝缘报警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1" w:hRule="atLeast"/>
          <w:jc w:val="center"/>
        </w:trPr>
        <w:tc>
          <w:tcPr>
            <w:tcW w:w="3435" w:type="dxa"/>
            <w:vMerge w:val="continue"/>
            <w:vAlign w:val="center"/>
          </w:tcPr>
          <w:p>
            <w:pPr>
              <w:widowControl/>
              <w:jc w:val="left"/>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SOC%过低报警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5" w:hRule="atLeast"/>
          <w:jc w:val="center"/>
        </w:trPr>
        <w:tc>
          <w:tcPr>
            <w:tcW w:w="3435" w:type="dxa"/>
            <w:vMerge w:val="continue"/>
            <w:vAlign w:val="center"/>
          </w:tcPr>
          <w:p>
            <w:pPr>
              <w:widowControl/>
              <w:jc w:val="left"/>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主电机控制器温度过高报警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7" w:hRule="atLeast"/>
          <w:jc w:val="center"/>
        </w:trPr>
        <w:tc>
          <w:tcPr>
            <w:tcW w:w="3435" w:type="dxa"/>
            <w:vMerge w:val="continue"/>
            <w:vAlign w:val="center"/>
          </w:tcPr>
          <w:p>
            <w:pPr>
              <w:widowControl/>
              <w:jc w:val="left"/>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ISG电机控制器温度过高报警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1" w:hRule="atLeast"/>
          <w:jc w:val="center"/>
        </w:trPr>
        <w:tc>
          <w:tcPr>
            <w:tcW w:w="3435" w:type="dxa"/>
            <w:vMerge w:val="continue"/>
            <w:vAlign w:val="center"/>
          </w:tcPr>
          <w:p>
            <w:pPr>
              <w:widowControl/>
              <w:jc w:val="left"/>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主电机温度过高报警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jc w:val="center"/>
        </w:trPr>
        <w:tc>
          <w:tcPr>
            <w:tcW w:w="3435" w:type="dxa"/>
            <w:vMerge w:val="continue"/>
            <w:vAlign w:val="center"/>
          </w:tcPr>
          <w:p>
            <w:pPr>
              <w:widowControl/>
              <w:jc w:val="left"/>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ISG电机温度过高报警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3" w:hRule="atLeast"/>
          <w:jc w:val="center"/>
        </w:trPr>
        <w:tc>
          <w:tcPr>
            <w:tcW w:w="3435" w:type="dxa"/>
            <w:vMerge w:val="continue"/>
            <w:vAlign w:val="center"/>
          </w:tcPr>
          <w:p>
            <w:pPr>
              <w:widowControl/>
              <w:jc w:val="left"/>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单体蓄电池电压过高报警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9" w:hRule="atLeast"/>
          <w:jc w:val="center"/>
        </w:trPr>
        <w:tc>
          <w:tcPr>
            <w:tcW w:w="3435" w:type="dxa"/>
            <w:vMerge w:val="continue"/>
            <w:vAlign w:val="center"/>
          </w:tcPr>
          <w:p>
            <w:pPr>
              <w:widowControl/>
              <w:jc w:val="left"/>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单体蓄电池电压过低报警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97" w:hRule="atLeast"/>
          <w:jc w:val="center"/>
        </w:trPr>
        <w:tc>
          <w:tcPr>
            <w:tcW w:w="3435" w:type="dxa"/>
            <w:vMerge w:val="continue"/>
            <w:vAlign w:val="center"/>
          </w:tcPr>
          <w:p>
            <w:pPr>
              <w:widowControl/>
              <w:jc w:val="left"/>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单体蓄电池温度过高报警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5" w:hRule="atLeast"/>
          <w:jc w:val="center"/>
        </w:trPr>
        <w:tc>
          <w:tcPr>
            <w:tcW w:w="3435" w:type="dxa"/>
            <w:vMerge w:val="continue"/>
            <w:vAlign w:val="center"/>
          </w:tcPr>
          <w:p>
            <w:pPr>
              <w:widowControl/>
              <w:jc w:val="left"/>
              <w:rPr>
                <w:rFonts w:ascii="宋体" w:hAnsi="宋体" w:cs="宋体"/>
                <w:kern w:val="0"/>
                <w:sz w:val="18"/>
                <w:szCs w:val="18"/>
              </w:rPr>
            </w:pPr>
          </w:p>
        </w:tc>
        <w:tc>
          <w:tcPr>
            <w:tcW w:w="1104" w:type="dxa"/>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3911" w:type="dxa"/>
            <w:vAlign w:val="center"/>
          </w:tcPr>
          <w:p>
            <w:pPr>
              <w:widowControl/>
              <w:jc w:val="left"/>
              <w:rPr>
                <w:rFonts w:ascii="宋体" w:hAnsi="宋体" w:cs="宋体"/>
                <w:kern w:val="0"/>
                <w:sz w:val="18"/>
                <w:szCs w:val="18"/>
              </w:rPr>
            </w:pPr>
            <w:r>
              <w:rPr>
                <w:rFonts w:hint="eastAsia" w:ascii="宋体" w:hAnsi="宋体" w:cs="宋体"/>
                <w:kern w:val="0"/>
                <w:sz w:val="18"/>
                <w:szCs w:val="18"/>
              </w:rPr>
              <w:t>单体蓄电池温度过低报警</w:t>
            </w:r>
          </w:p>
        </w:tc>
      </w:tr>
    </w:tbl>
    <w:p>
      <w:pPr>
        <w:widowControl/>
        <w:jc w:val="left"/>
        <w:rPr>
          <w:rFonts w:hAnsi="黑体"/>
        </w:rPr>
      </w:pPr>
    </w:p>
    <w:p>
      <w:pPr>
        <w:widowControl/>
        <w:jc w:val="left"/>
        <w:rPr>
          <w:rFonts w:hAnsi="黑体"/>
        </w:rPr>
        <w:sectPr>
          <w:headerReference r:id="rId4" w:type="default"/>
          <w:footerReference r:id="rId5" w:type="default"/>
          <w:pgSz w:w="11906" w:h="16838"/>
          <w:pgMar w:top="567" w:right="1134" w:bottom="1134" w:left="1418" w:header="1418" w:footer="1134" w:gutter="0"/>
          <w:pgNumType w:fmt="upperRoman" w:start="1"/>
          <w:cols w:space="425" w:num="1"/>
          <w:formProt w:val="0"/>
          <w:docGrid w:type="lines" w:linePitch="312" w:charSpace="0"/>
        </w:sectPr>
      </w:pPr>
    </w:p>
    <w:p>
      <w:pPr>
        <w:pStyle w:val="86"/>
        <w:spacing w:after="0"/>
        <w:ind w:left="0"/>
      </w:pPr>
      <w:r>
        <w:br/>
      </w:r>
      <w:bookmarkStart w:id="173" w:name="_Toc452750842"/>
      <w:bookmarkStart w:id="174" w:name="_Toc450582097"/>
      <w:bookmarkStart w:id="175" w:name="_Toc450582275"/>
      <w:bookmarkStart w:id="176" w:name="_Toc450582370"/>
      <w:r>
        <w:rPr>
          <w:rFonts w:hint="eastAsia"/>
        </w:rPr>
        <w:t>碰撞试验方法</w:t>
      </w:r>
      <w:bookmarkEnd w:id="173"/>
      <w:bookmarkStart w:id="177" w:name="_Toc450584448"/>
    </w:p>
    <w:p>
      <w:pPr>
        <w:jc w:val="center"/>
        <w:rPr>
          <w:rFonts w:ascii="黑体" w:eastAsia="黑体"/>
          <w:kern w:val="0"/>
          <w:szCs w:val="20"/>
        </w:rPr>
      </w:pPr>
      <w:r>
        <w:rPr>
          <w:rFonts w:hint="eastAsia" w:ascii="黑体" w:eastAsia="黑体"/>
          <w:kern w:val="0"/>
          <w:szCs w:val="20"/>
        </w:rPr>
        <w:t>（规范性附录）</w:t>
      </w:r>
      <w:bookmarkEnd w:id="177"/>
    </w:p>
    <w:p>
      <w:pPr>
        <w:pStyle w:val="103"/>
        <w:spacing w:beforeLines="50" w:afterLines="50"/>
        <w:rPr>
          <w:kern w:val="0"/>
        </w:rPr>
      </w:pPr>
      <w:r>
        <w:rPr>
          <w:rFonts w:hint="eastAsia"/>
          <w:kern w:val="0"/>
        </w:rPr>
        <w:t>试验场地</w:t>
      </w:r>
    </w:p>
    <w:p>
      <w:pPr>
        <w:ind w:firstLine="420"/>
        <w:outlineLvl w:val="1"/>
        <w:rPr>
          <w:rFonts w:ascii="宋体" w:hAnsi="宋体"/>
          <w:szCs w:val="21"/>
        </w:rPr>
      </w:pPr>
      <w:r>
        <w:rPr>
          <w:rFonts w:hint="eastAsia" w:ascii="宋体" w:hAnsi="宋体"/>
          <w:szCs w:val="21"/>
        </w:rPr>
        <w:t>试验场地应足够大，以容纳移动壁障驱动系统、被撞车碰撞后移动和试验设备的安装。车辆发生碰撞和移动的场地应水平、平整，路面摩擦系数不小于0.5。</w:t>
      </w:r>
    </w:p>
    <w:p>
      <w:pPr>
        <w:pStyle w:val="103"/>
        <w:spacing w:beforeLines="50" w:afterLines="50"/>
        <w:rPr>
          <w:kern w:val="0"/>
        </w:rPr>
      </w:pPr>
      <w:r>
        <w:rPr>
          <w:rFonts w:hint="eastAsia"/>
          <w:kern w:val="0"/>
        </w:rPr>
        <w:t>试验前的车辆准备</w:t>
      </w:r>
    </w:p>
    <w:p>
      <w:pPr>
        <w:pStyle w:val="104"/>
        <w:spacing w:beforeLines="0" w:afterLines="0"/>
        <w:ind w:left="142"/>
        <w:rPr>
          <w:rFonts w:ascii="宋体" w:hAnsi="宋体" w:eastAsia="宋体"/>
          <w:kern w:val="2"/>
          <w:szCs w:val="21"/>
        </w:rPr>
      </w:pPr>
      <w:r>
        <w:rPr>
          <w:rFonts w:hint="eastAsia" w:ascii="宋体" w:hAnsi="宋体" w:eastAsia="宋体"/>
          <w:kern w:val="2"/>
          <w:szCs w:val="21"/>
        </w:rPr>
        <w:t>纯电动客车和可外接充电式混合动力客车按GB/T 18385-2005的5.1进行完全充电。</w:t>
      </w:r>
    </w:p>
    <w:p>
      <w:pPr>
        <w:pStyle w:val="104"/>
        <w:spacing w:beforeLines="0" w:afterLines="0"/>
        <w:ind w:left="142"/>
        <w:rPr>
          <w:rFonts w:ascii="宋体" w:hAnsi="宋体" w:eastAsia="宋体"/>
          <w:kern w:val="2"/>
          <w:szCs w:val="21"/>
        </w:rPr>
      </w:pPr>
      <w:r>
        <w:rPr>
          <w:rFonts w:hint="eastAsia" w:ascii="宋体" w:hAnsi="宋体" w:eastAsia="宋体"/>
          <w:kern w:val="2"/>
          <w:szCs w:val="21"/>
        </w:rPr>
        <w:t>不可外接充电混合动力电动客车按车辆正常运行状态准备试验。</w:t>
      </w:r>
    </w:p>
    <w:p>
      <w:pPr>
        <w:pStyle w:val="104"/>
        <w:spacing w:beforeLines="0" w:afterLines="0"/>
        <w:ind w:left="142"/>
        <w:rPr>
          <w:rFonts w:ascii="宋体" w:hAnsi="宋体" w:eastAsia="宋体"/>
          <w:kern w:val="2"/>
          <w:szCs w:val="21"/>
        </w:rPr>
      </w:pPr>
      <w:r>
        <w:rPr>
          <w:rFonts w:hint="eastAsia" w:ascii="宋体" w:hAnsi="宋体" w:eastAsia="宋体"/>
          <w:kern w:val="2"/>
          <w:szCs w:val="21"/>
        </w:rPr>
        <w:t>纯电动客车和可外接充电式混合动力客车碰撞试验应在车辆充电结束24h内进行。</w:t>
      </w:r>
    </w:p>
    <w:p>
      <w:pPr>
        <w:pStyle w:val="104"/>
        <w:spacing w:beforeLines="0" w:afterLines="0"/>
        <w:ind w:left="142"/>
        <w:rPr>
          <w:rFonts w:ascii="宋体" w:hAnsi="宋体" w:eastAsia="宋体"/>
          <w:kern w:val="2"/>
          <w:szCs w:val="21"/>
        </w:rPr>
      </w:pPr>
      <w:r>
        <w:rPr>
          <w:rFonts w:hint="eastAsia" w:ascii="宋体" w:hAnsi="宋体" w:eastAsia="宋体"/>
          <w:kern w:val="2"/>
          <w:szCs w:val="21"/>
        </w:rPr>
        <w:t>试验车辆应为整备质量状态。</w:t>
      </w:r>
    </w:p>
    <w:p>
      <w:pPr>
        <w:pStyle w:val="104"/>
        <w:spacing w:beforeLines="0" w:afterLines="0"/>
        <w:ind w:left="142"/>
        <w:rPr>
          <w:rFonts w:ascii="宋体" w:hAnsi="宋体" w:eastAsia="宋体"/>
          <w:kern w:val="2"/>
          <w:szCs w:val="21"/>
        </w:rPr>
      </w:pPr>
      <w:r>
        <w:rPr>
          <w:rFonts w:hint="eastAsia" w:ascii="宋体" w:hAnsi="宋体" w:eastAsia="宋体"/>
          <w:kern w:val="2"/>
          <w:szCs w:val="21"/>
        </w:rPr>
        <w:t>车窗应为关闭状态，车门处于关闭但不锁止状态。</w:t>
      </w:r>
    </w:p>
    <w:p>
      <w:pPr>
        <w:pStyle w:val="104"/>
        <w:spacing w:beforeLines="0" w:afterLines="0"/>
        <w:ind w:left="142"/>
        <w:rPr>
          <w:rFonts w:ascii="宋体" w:hAnsi="宋体" w:eastAsia="宋体"/>
          <w:kern w:val="2"/>
          <w:szCs w:val="21"/>
        </w:rPr>
      </w:pPr>
      <w:r>
        <w:rPr>
          <w:rFonts w:hint="eastAsia" w:ascii="宋体" w:hAnsi="宋体" w:eastAsia="宋体"/>
          <w:kern w:val="2"/>
          <w:szCs w:val="21"/>
        </w:rPr>
        <w:t>档位应处于空挡状态，驻车制动器松开。</w:t>
      </w:r>
    </w:p>
    <w:p>
      <w:pPr>
        <w:pStyle w:val="104"/>
        <w:spacing w:beforeLines="0" w:afterLines="0"/>
        <w:ind w:left="142"/>
        <w:rPr>
          <w:rFonts w:ascii="宋体" w:hAnsi="宋体" w:eastAsia="宋体"/>
          <w:kern w:val="2"/>
          <w:szCs w:val="21"/>
        </w:rPr>
      </w:pPr>
      <w:r>
        <w:rPr>
          <w:rFonts w:hint="eastAsia" w:ascii="宋体" w:hAnsi="宋体" w:eastAsia="宋体"/>
          <w:kern w:val="2"/>
          <w:szCs w:val="21"/>
        </w:rPr>
        <w:t>轮胎气压应调整到制造商规定的气压值。</w:t>
      </w:r>
    </w:p>
    <w:p>
      <w:pPr>
        <w:pStyle w:val="104"/>
        <w:spacing w:beforeLines="0" w:afterLines="0"/>
        <w:ind w:left="142"/>
        <w:rPr>
          <w:rFonts w:ascii="宋体" w:hAnsi="宋体" w:eastAsia="宋体"/>
          <w:kern w:val="2"/>
          <w:szCs w:val="21"/>
        </w:rPr>
      </w:pPr>
      <w:r>
        <w:rPr>
          <w:rFonts w:hint="eastAsia" w:ascii="宋体" w:hAnsi="宋体" w:eastAsia="宋体"/>
          <w:kern w:val="2"/>
          <w:szCs w:val="21"/>
        </w:rPr>
        <w:t>试验车辆放置应保证车轴处于水平。</w:t>
      </w:r>
    </w:p>
    <w:p>
      <w:pPr>
        <w:pStyle w:val="104"/>
        <w:spacing w:beforeLines="0" w:afterLines="0"/>
        <w:ind w:left="142"/>
      </w:pPr>
      <w:r>
        <w:rPr>
          <w:rFonts w:hint="eastAsia" w:ascii="宋体" w:hAnsi="宋体" w:eastAsia="宋体"/>
          <w:kern w:val="2"/>
          <w:szCs w:val="21"/>
        </w:rPr>
        <w:t>车辆应处于带电状态。</w:t>
      </w:r>
    </w:p>
    <w:p>
      <w:pPr>
        <w:pStyle w:val="103"/>
        <w:spacing w:beforeLines="50" w:afterLines="50"/>
        <w:rPr>
          <w:kern w:val="0"/>
        </w:rPr>
      </w:pPr>
      <w:r>
        <w:rPr>
          <w:rFonts w:hint="eastAsia"/>
          <w:kern w:val="0"/>
        </w:rPr>
        <w:t>移动壁障</w:t>
      </w:r>
    </w:p>
    <w:p>
      <w:pPr>
        <w:pStyle w:val="104"/>
        <w:spacing w:beforeLines="0" w:afterLines="0"/>
        <w:ind w:left="142"/>
        <w:rPr>
          <w:rFonts w:ascii="宋体" w:hAnsi="宋体" w:eastAsia="宋体"/>
          <w:kern w:val="2"/>
          <w:szCs w:val="21"/>
        </w:rPr>
      </w:pPr>
      <w:r>
        <w:rPr>
          <w:rFonts w:hint="eastAsia" w:ascii="宋体" w:hAnsi="宋体" w:eastAsia="宋体"/>
          <w:kern w:val="2"/>
          <w:szCs w:val="21"/>
        </w:rPr>
        <w:t>移动壁障由碰撞装置、约束元件和移动车架组成；碰撞装置为一刚性的钢制结构，碰撞装置用约束元件固定于移动车上，约束元件应为刚性的，且不应因碰撞而产生变形。</w:t>
      </w:r>
    </w:p>
    <w:p>
      <w:pPr>
        <w:pStyle w:val="104"/>
        <w:spacing w:beforeLines="0" w:afterLines="0"/>
        <w:ind w:left="142"/>
        <w:rPr>
          <w:rFonts w:ascii="宋体" w:hAnsi="宋体" w:eastAsia="宋体"/>
          <w:kern w:val="2"/>
          <w:szCs w:val="21"/>
        </w:rPr>
      </w:pPr>
      <w:r>
        <w:rPr>
          <w:rFonts w:hint="eastAsia" w:ascii="宋体" w:hAnsi="宋体" w:eastAsia="宋体"/>
          <w:kern w:val="2"/>
          <w:szCs w:val="21"/>
        </w:rPr>
        <w:t>移动壁障总质量为1814kg±23kg。</w:t>
      </w:r>
    </w:p>
    <w:p>
      <w:pPr>
        <w:pStyle w:val="104"/>
        <w:spacing w:beforeLines="0" w:afterLines="0"/>
        <w:ind w:left="142"/>
        <w:rPr>
          <w:rFonts w:ascii="宋体" w:hAnsi="宋体" w:eastAsia="宋体"/>
          <w:kern w:val="2"/>
          <w:szCs w:val="21"/>
        </w:rPr>
      </w:pPr>
      <w:r>
        <w:rPr>
          <w:rFonts w:hint="eastAsia" w:ascii="宋体" w:hAnsi="宋体" w:eastAsia="宋体"/>
          <w:kern w:val="2"/>
          <w:szCs w:val="21"/>
        </w:rPr>
        <w:t>移动壁障总长度为3700mm±50mm，总宽度为2000±50mm，总高度为1682mm±50mm。</w:t>
      </w:r>
    </w:p>
    <w:p>
      <w:pPr>
        <w:pStyle w:val="104"/>
        <w:spacing w:beforeLines="0" w:afterLines="0"/>
        <w:ind w:left="142"/>
        <w:rPr>
          <w:rFonts w:ascii="宋体" w:hAnsi="宋体" w:eastAsia="宋体"/>
          <w:kern w:val="2"/>
          <w:szCs w:val="21"/>
        </w:rPr>
      </w:pPr>
      <w:r>
        <w:rPr>
          <w:rFonts w:hint="eastAsia" w:ascii="宋体" w:hAnsi="宋体" w:eastAsia="宋体"/>
          <w:kern w:val="2"/>
          <w:szCs w:val="21"/>
        </w:rPr>
        <w:t>移动车轴距为2650mm±50mm，轮距为1725mm±50mm。</w:t>
      </w:r>
    </w:p>
    <w:p>
      <w:pPr>
        <w:pStyle w:val="104"/>
        <w:spacing w:beforeLines="0" w:afterLines="0"/>
        <w:ind w:left="142"/>
        <w:rPr>
          <w:rFonts w:ascii="宋体" w:hAnsi="宋体" w:eastAsia="宋体"/>
          <w:kern w:val="2"/>
          <w:szCs w:val="21"/>
        </w:rPr>
      </w:pPr>
      <w:r>
        <w:rPr>
          <w:rFonts w:hint="eastAsia" w:ascii="宋体" w:hAnsi="宋体" w:eastAsia="宋体"/>
          <w:kern w:val="2"/>
          <w:szCs w:val="21"/>
        </w:rPr>
        <w:t>碰撞装置表面应为平面，宽度为1981mm，高度为1524mm，表面装有厚为19mm的胶合板。</w:t>
      </w:r>
    </w:p>
    <w:p>
      <w:pPr>
        <w:pStyle w:val="104"/>
        <w:spacing w:beforeLines="0" w:afterLines="0"/>
        <w:ind w:left="141" w:leftChars="67"/>
        <w:rPr>
          <w:rFonts w:ascii="宋体" w:hAnsi="宋体" w:eastAsia="宋体"/>
          <w:kern w:val="2"/>
          <w:szCs w:val="21"/>
        </w:rPr>
      </w:pPr>
      <w:r>
        <w:rPr>
          <w:rFonts w:hint="eastAsia" w:ascii="宋体" w:hAnsi="宋体" w:eastAsia="宋体"/>
          <w:kern w:val="2"/>
          <w:szCs w:val="21"/>
        </w:rPr>
        <w:t>在碰撞瞬间移动车应与牵引装置脱离且能自由移动。</w:t>
      </w:r>
    </w:p>
    <w:p>
      <w:pPr>
        <w:pStyle w:val="103"/>
        <w:spacing w:beforeLines="50" w:afterLines="50"/>
        <w:rPr>
          <w:kern w:val="0"/>
        </w:rPr>
      </w:pPr>
      <w:r>
        <w:rPr>
          <w:rFonts w:hint="eastAsia"/>
          <w:kern w:val="0"/>
        </w:rPr>
        <w:t>试验步骤</w:t>
      </w:r>
    </w:p>
    <w:p>
      <w:pPr>
        <w:pStyle w:val="104"/>
        <w:spacing w:beforeLines="0" w:afterLines="0"/>
        <w:ind w:left="142"/>
        <w:rPr>
          <w:rFonts w:ascii="宋体" w:hAnsi="宋体" w:eastAsia="宋体"/>
          <w:kern w:val="2"/>
          <w:szCs w:val="21"/>
        </w:rPr>
      </w:pPr>
      <w:r>
        <w:rPr>
          <w:rFonts w:hint="eastAsia" w:ascii="宋体" w:hAnsi="宋体" w:eastAsia="宋体"/>
          <w:kern w:val="2"/>
          <w:szCs w:val="21"/>
        </w:rPr>
        <w:t>试验车辆应保持静止。</w:t>
      </w:r>
    </w:p>
    <w:p>
      <w:pPr>
        <w:pStyle w:val="104"/>
        <w:spacing w:beforeLines="0" w:afterLines="0"/>
        <w:ind w:left="142"/>
        <w:rPr>
          <w:rFonts w:ascii="宋体" w:hAnsi="宋体" w:eastAsia="宋体"/>
          <w:kern w:val="2"/>
          <w:szCs w:val="21"/>
        </w:rPr>
      </w:pPr>
      <w:r>
        <w:rPr>
          <w:rFonts w:hint="eastAsia" w:ascii="宋体" w:hAnsi="宋体" w:eastAsia="宋体"/>
          <w:kern w:val="2"/>
          <w:szCs w:val="21"/>
        </w:rPr>
        <w:t>试验时移动壁障应撞击在电池舱结构强度最薄弱区域，且碰撞装置应最大限度覆盖可充电储能系统。</w:t>
      </w:r>
    </w:p>
    <w:p>
      <w:pPr>
        <w:pStyle w:val="104"/>
        <w:spacing w:beforeLines="0" w:afterLines="0"/>
        <w:ind w:left="142"/>
        <w:rPr>
          <w:rFonts w:ascii="宋体" w:hAnsi="宋体" w:eastAsia="宋体"/>
          <w:kern w:val="2"/>
          <w:szCs w:val="21"/>
        </w:rPr>
      </w:pPr>
      <w:r>
        <w:rPr>
          <w:rFonts w:hint="eastAsia" w:ascii="宋体" w:hAnsi="宋体" w:eastAsia="宋体"/>
          <w:kern w:val="2"/>
          <w:szCs w:val="21"/>
        </w:rPr>
        <w:t>当碰撞区域位于车辆尾部时，移动壁障行驶方向应平行于被撞车辆的纵向中心平面；当碰撞区域位于车辆侧面时，移动壁障行驶方向应垂直于被撞车辆的纵向中心平面。</w:t>
      </w:r>
    </w:p>
    <w:p>
      <w:pPr>
        <w:pStyle w:val="104"/>
        <w:spacing w:beforeLines="0" w:afterLines="0"/>
        <w:ind w:left="142"/>
        <w:rPr>
          <w:rFonts w:ascii="宋体" w:hAnsi="宋体" w:eastAsia="宋体"/>
          <w:kern w:val="2"/>
          <w:szCs w:val="21"/>
        </w:rPr>
      </w:pPr>
      <w:r>
        <w:rPr>
          <w:rFonts w:hint="eastAsia" w:ascii="宋体" w:hAnsi="宋体" w:eastAsia="宋体"/>
          <w:kern w:val="2"/>
          <w:szCs w:val="21"/>
        </w:rPr>
        <w:t>试验速度</w:t>
      </w:r>
    </w:p>
    <w:p>
      <w:pPr>
        <w:ind w:firstLine="420" w:firstLineChars="200"/>
        <w:outlineLvl w:val="1"/>
      </w:pPr>
      <w:r>
        <w:rPr>
          <w:rFonts w:hint="eastAsia" w:ascii="宋体"/>
          <w:szCs w:val="21"/>
        </w:rPr>
        <w:t>在碰撞瞬间，移动壁障的速度应为40km/h±0.5km/h，并且该速度至少在碰撞前0.5m内保持稳定。如果试验在更高的碰撞速度下进行，且车辆符合本文件4.9的技术要求，也认为合格。</w:t>
      </w:r>
      <w:bookmarkEnd w:id="174"/>
      <w:bookmarkEnd w:id="175"/>
      <w:bookmarkEnd w:id="176"/>
    </w:p>
    <w:p>
      <w:pPr>
        <w:pStyle w:val="129"/>
        <w:framePr/>
      </w:pPr>
      <w:r>
        <w:t>_________________________________</w:t>
      </w:r>
    </w:p>
    <w:sectPr>
      <w:pgSz w:w="11906" w:h="16838"/>
      <w:pgMar w:top="567" w:right="1134" w:bottom="1134" w:left="1418" w:header="1418" w:footer="1134" w:gutter="0"/>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A00002EF" w:usb1="4000004B" w:usb2="00000000" w:usb3="00000000" w:csb0="2000019F" w:csb1="00000000"/>
  </w:font>
  <w:font w:name="Calibri">
    <w:panose1 w:val="020F0502020204030204"/>
    <w:charset w:val="00"/>
    <w:family w:val="auto"/>
    <w:pitch w:val="default"/>
    <w:sig w:usb0="E10002FF" w:usb1="4000ACFF" w:usb2="00000009" w:usb3="00000000" w:csb0="2000019F" w:csb1="00000000"/>
  </w:font>
  <w:font w:name="Helvetica">
    <w:altName w:val="Vijaya"/>
    <w:panose1 w:val="020B0604020202020204"/>
    <w:charset w:val="00"/>
    <w:family w:val="auto"/>
    <w:pitch w:val="default"/>
    <w:sig w:usb0="00000003" w:usb1="00000000" w:usb2="00000000" w:usb3="00000000" w:csb0="00000001" w:csb1="00000000"/>
  </w:font>
  <w:font w:name="DengXian">
    <w:altName w:val="宋体"/>
    <w:panose1 w:val="00000000000000000000"/>
    <w:charset w:val="88"/>
    <w:family w:val="auto"/>
    <w:pitch w:val="default"/>
    <w:sig w:usb0="00000000" w:usb1="38CF7CFA" w:usb2="00000016" w:usb3="00000000" w:csb0="0014000F"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6"/>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7"/>
    </w:pPr>
    <w:r>
      <w:rPr>
        <w:rFonts w:hint="eastAsia"/>
      </w:rPr>
      <w:t>电动客车安全技术条件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2675433">
    <w:nsid w:val="0AE367E9"/>
    <w:multiLevelType w:val="multilevel"/>
    <w:tmpl w:val="0AE367E9"/>
    <w:lvl w:ilvl="0" w:tentative="1">
      <w:start w:val="1"/>
      <w:numFmt w:val="none"/>
      <w:pStyle w:val="55"/>
      <w:suff w:val="nothing"/>
      <w:lvlText w:val="%1示例："/>
      <w:lvlJc w:val="left"/>
      <w:pPr>
        <w:ind w:left="0" w:firstLine="363"/>
      </w:pPr>
      <w:rPr>
        <w:rFonts w:hint="eastAsia" w:ascii="黑体" w:eastAsia="黑体"/>
        <w:b w:val="0"/>
        <w:i w:val="0"/>
        <w:sz w:val="18"/>
        <w:szCs w:val="18"/>
      </w:rPr>
    </w:lvl>
    <w:lvl w:ilvl="1" w:tentative="1">
      <w:start w:val="1"/>
      <w:numFmt w:val="lowerLetter"/>
      <w:lvlText w:val="%2)"/>
      <w:lvlJc w:val="left"/>
      <w:pPr>
        <w:tabs>
          <w:tab w:val="left" w:pos="363"/>
        </w:tabs>
        <w:ind w:left="0" w:firstLine="363"/>
      </w:pPr>
      <w:rPr>
        <w:rFonts w:hint="eastAsia"/>
      </w:rPr>
    </w:lvl>
    <w:lvl w:ilvl="2" w:tentative="1">
      <w:start w:val="1"/>
      <w:numFmt w:val="lowerRoman"/>
      <w:lvlText w:val="%3."/>
      <w:lvlJc w:val="right"/>
      <w:pPr>
        <w:tabs>
          <w:tab w:val="left" w:pos="363"/>
        </w:tabs>
        <w:ind w:left="0" w:firstLine="363"/>
      </w:pPr>
      <w:rPr>
        <w:rFonts w:hint="eastAsia"/>
      </w:rPr>
    </w:lvl>
    <w:lvl w:ilvl="3" w:tentative="1">
      <w:start w:val="1"/>
      <w:numFmt w:val="decimal"/>
      <w:lvlText w:val="%4."/>
      <w:lvlJc w:val="left"/>
      <w:pPr>
        <w:tabs>
          <w:tab w:val="left" w:pos="363"/>
        </w:tabs>
        <w:ind w:left="0" w:firstLine="363"/>
      </w:pPr>
      <w:rPr>
        <w:rFonts w:hint="eastAsia"/>
      </w:rPr>
    </w:lvl>
    <w:lvl w:ilvl="4" w:tentative="1">
      <w:start w:val="1"/>
      <w:numFmt w:val="lowerLetter"/>
      <w:lvlText w:val="%5)"/>
      <w:lvlJc w:val="left"/>
      <w:pPr>
        <w:tabs>
          <w:tab w:val="left" w:pos="363"/>
        </w:tabs>
        <w:ind w:left="0" w:firstLine="363"/>
      </w:pPr>
      <w:rPr>
        <w:rFonts w:hint="eastAsia"/>
      </w:rPr>
    </w:lvl>
    <w:lvl w:ilvl="5" w:tentative="1">
      <w:start w:val="1"/>
      <w:numFmt w:val="lowerRoman"/>
      <w:lvlText w:val="%6."/>
      <w:lvlJc w:val="right"/>
      <w:pPr>
        <w:tabs>
          <w:tab w:val="left" w:pos="363"/>
        </w:tabs>
        <w:ind w:left="0" w:firstLine="363"/>
      </w:pPr>
      <w:rPr>
        <w:rFonts w:hint="eastAsia"/>
      </w:rPr>
    </w:lvl>
    <w:lvl w:ilvl="6" w:tentative="1">
      <w:start w:val="1"/>
      <w:numFmt w:val="decimal"/>
      <w:lvlText w:val="%7."/>
      <w:lvlJc w:val="left"/>
      <w:pPr>
        <w:tabs>
          <w:tab w:val="left" w:pos="363"/>
        </w:tabs>
        <w:ind w:left="0" w:firstLine="363"/>
      </w:pPr>
      <w:rPr>
        <w:rFonts w:hint="eastAsia"/>
      </w:rPr>
    </w:lvl>
    <w:lvl w:ilvl="7" w:tentative="1">
      <w:start w:val="1"/>
      <w:numFmt w:val="lowerLetter"/>
      <w:lvlText w:val="%8)"/>
      <w:lvlJc w:val="left"/>
      <w:pPr>
        <w:tabs>
          <w:tab w:val="left" w:pos="363"/>
        </w:tabs>
        <w:ind w:left="0" w:firstLine="363"/>
      </w:pPr>
      <w:rPr>
        <w:rFonts w:hint="eastAsia"/>
      </w:rPr>
    </w:lvl>
    <w:lvl w:ilvl="8" w:tentative="1">
      <w:start w:val="1"/>
      <w:numFmt w:val="lowerRoman"/>
      <w:lvlText w:val="%9."/>
      <w:lvlJc w:val="right"/>
      <w:pPr>
        <w:tabs>
          <w:tab w:val="left" w:pos="363"/>
        </w:tabs>
        <w:ind w:left="0" w:firstLine="363"/>
      </w:pPr>
      <w:rPr>
        <w:rFonts w:hint="eastAsia"/>
      </w:rPr>
    </w:lvl>
  </w:abstractNum>
  <w:abstractNum w:abstractNumId="714043667">
    <w:nsid w:val="2A8F7113"/>
    <w:multiLevelType w:val="multilevel"/>
    <w:tmpl w:val="2A8F7113"/>
    <w:lvl w:ilvl="0" w:tentative="1">
      <w:start w:val="1"/>
      <w:numFmt w:val="upperLetter"/>
      <w:pStyle w:val="99"/>
      <w:suff w:val="space"/>
      <w:lvlText w:val="%1"/>
      <w:lvlJc w:val="left"/>
      <w:pPr>
        <w:ind w:left="623" w:hanging="425"/>
      </w:pPr>
      <w:rPr>
        <w:rFonts w:hint="eastAsia"/>
      </w:rPr>
    </w:lvl>
    <w:lvl w:ilvl="1" w:tentative="1">
      <w:start w:val="1"/>
      <w:numFmt w:val="decimal"/>
      <w:pStyle w:val="100"/>
      <w:suff w:val="nothing"/>
      <w:lvlText w:val="图%1.%2　"/>
      <w:lvlJc w:val="left"/>
      <w:pPr>
        <w:ind w:left="1190" w:hanging="567"/>
      </w:pPr>
      <w:rPr>
        <w:rFonts w:hint="eastAsia"/>
      </w:rPr>
    </w:lvl>
    <w:lvl w:ilvl="2" w:tentative="1">
      <w:start w:val="1"/>
      <w:numFmt w:val="decimal"/>
      <w:lvlText w:val="%1.%2.%3"/>
      <w:lvlJc w:val="left"/>
      <w:pPr>
        <w:tabs>
          <w:tab w:val="left" w:pos="1616"/>
        </w:tabs>
        <w:ind w:left="1616" w:hanging="567"/>
      </w:pPr>
      <w:rPr>
        <w:rFonts w:hint="eastAsia"/>
      </w:rPr>
    </w:lvl>
    <w:lvl w:ilvl="3" w:tentative="1">
      <w:start w:val="1"/>
      <w:numFmt w:val="decimal"/>
      <w:lvlText w:val="%1.%2.%3.%4"/>
      <w:lvlJc w:val="left"/>
      <w:pPr>
        <w:tabs>
          <w:tab w:val="left" w:pos="2914"/>
        </w:tabs>
        <w:ind w:left="2182" w:hanging="708"/>
      </w:pPr>
      <w:rPr>
        <w:rFonts w:hint="eastAsia"/>
      </w:rPr>
    </w:lvl>
    <w:lvl w:ilvl="4" w:tentative="1">
      <w:start w:val="1"/>
      <w:numFmt w:val="decimal"/>
      <w:lvlText w:val="%1.%2.%3.%4.%5"/>
      <w:lvlJc w:val="left"/>
      <w:pPr>
        <w:tabs>
          <w:tab w:val="left" w:pos="3699"/>
        </w:tabs>
        <w:ind w:left="2749" w:hanging="850"/>
      </w:pPr>
      <w:rPr>
        <w:rFonts w:hint="eastAsia"/>
      </w:rPr>
    </w:lvl>
    <w:lvl w:ilvl="5" w:tentative="1">
      <w:start w:val="1"/>
      <w:numFmt w:val="decimal"/>
      <w:lvlText w:val="%1.%2.%3.%4.%5.%6"/>
      <w:lvlJc w:val="left"/>
      <w:pPr>
        <w:tabs>
          <w:tab w:val="left" w:pos="4484"/>
        </w:tabs>
        <w:ind w:left="3458" w:hanging="1134"/>
      </w:pPr>
      <w:rPr>
        <w:rFonts w:hint="eastAsia"/>
      </w:rPr>
    </w:lvl>
    <w:lvl w:ilvl="6" w:tentative="1">
      <w:start w:val="1"/>
      <w:numFmt w:val="decimal"/>
      <w:lvlText w:val="%1.%2.%3.%4.%5.%6.%7"/>
      <w:lvlJc w:val="left"/>
      <w:pPr>
        <w:tabs>
          <w:tab w:val="left" w:pos="5269"/>
        </w:tabs>
        <w:ind w:left="4025" w:hanging="1276"/>
      </w:pPr>
      <w:rPr>
        <w:rFonts w:hint="eastAsia"/>
      </w:rPr>
    </w:lvl>
    <w:lvl w:ilvl="7" w:tentative="1">
      <w:start w:val="1"/>
      <w:numFmt w:val="decimal"/>
      <w:lvlText w:val="%1.%2.%3.%4.%5.%6.%7.%8"/>
      <w:lvlJc w:val="left"/>
      <w:pPr>
        <w:tabs>
          <w:tab w:val="left" w:pos="6054"/>
        </w:tabs>
        <w:ind w:left="4592" w:hanging="1418"/>
      </w:pPr>
      <w:rPr>
        <w:rFonts w:hint="eastAsia"/>
      </w:rPr>
    </w:lvl>
    <w:lvl w:ilvl="8" w:tentative="1">
      <w:start w:val="1"/>
      <w:numFmt w:val="decimal"/>
      <w:lvlText w:val="%1.%2.%3.%4.%5.%6.%7.%8.%9"/>
      <w:lvlJc w:val="left"/>
      <w:pPr>
        <w:tabs>
          <w:tab w:val="left" w:pos="6840"/>
        </w:tabs>
        <w:ind w:left="5300" w:hanging="1700"/>
      </w:pPr>
      <w:rPr>
        <w:rFonts w:hint="eastAsia"/>
      </w:rPr>
    </w:lvl>
  </w:abstractNum>
  <w:abstractNum w:abstractNumId="744036291">
    <w:nsid w:val="2C5917C3"/>
    <w:multiLevelType w:val="multilevel"/>
    <w:tmpl w:val="2C5917C3"/>
    <w:lvl w:ilvl="0" w:tentative="1">
      <w:start w:val="1"/>
      <w:numFmt w:val="none"/>
      <w:pStyle w:val="51"/>
      <w:suff w:val="nothing"/>
      <w:lvlText w:val="%1——"/>
      <w:lvlJc w:val="left"/>
      <w:pPr>
        <w:ind w:left="1259" w:hanging="408"/>
      </w:pPr>
      <w:rPr>
        <w:rFonts w:hint="eastAsia"/>
      </w:rPr>
    </w:lvl>
    <w:lvl w:ilvl="1" w:tentative="1">
      <w:start w:val="1"/>
      <w:numFmt w:val="bullet"/>
      <w:pStyle w:val="52"/>
      <w:lvlText w:val=""/>
      <w:lvlJc w:val="left"/>
      <w:pPr>
        <w:tabs>
          <w:tab w:val="left" w:pos="1186"/>
        </w:tabs>
        <w:ind w:left="1690" w:hanging="413"/>
      </w:pPr>
      <w:rPr>
        <w:rFonts w:hint="default" w:ascii="Symbol" w:hAnsi="Symbol"/>
        <w:color w:val="auto"/>
      </w:rPr>
    </w:lvl>
    <w:lvl w:ilvl="2" w:tentative="1">
      <w:start w:val="1"/>
      <w:numFmt w:val="bullet"/>
      <w:pStyle w:val="63"/>
      <w:lvlText w:val=""/>
      <w:lvlJc w:val="left"/>
      <w:pPr>
        <w:tabs>
          <w:tab w:val="left" w:pos="2104"/>
        </w:tabs>
        <w:ind w:left="2104" w:hanging="414"/>
      </w:pPr>
      <w:rPr>
        <w:rFonts w:hint="default" w:ascii="Symbol" w:hAnsi="Symbol"/>
        <w:color w:val="auto"/>
      </w:rPr>
    </w:lvl>
    <w:lvl w:ilvl="3" w:tentative="1">
      <w:start w:val="1"/>
      <w:numFmt w:val="decimal"/>
      <w:lvlText w:val="%4."/>
      <w:lvlJc w:val="left"/>
      <w:pPr>
        <w:tabs>
          <w:tab w:val="left" w:pos="2497"/>
        </w:tabs>
        <w:ind w:left="2310" w:hanging="528"/>
      </w:pPr>
      <w:rPr>
        <w:rFonts w:hint="eastAsia"/>
      </w:rPr>
    </w:lvl>
    <w:lvl w:ilvl="4" w:tentative="1">
      <w:start w:val="1"/>
      <w:numFmt w:val="lowerLetter"/>
      <w:lvlText w:val="%5)"/>
      <w:lvlJc w:val="left"/>
      <w:pPr>
        <w:tabs>
          <w:tab w:val="left" w:pos="2809"/>
        </w:tabs>
        <w:ind w:left="2622" w:hanging="528"/>
      </w:pPr>
      <w:rPr>
        <w:rFonts w:hint="eastAsia"/>
      </w:rPr>
    </w:lvl>
    <w:lvl w:ilvl="5" w:tentative="1">
      <w:start w:val="1"/>
      <w:numFmt w:val="lowerRoman"/>
      <w:lvlText w:val="%6."/>
      <w:lvlJc w:val="right"/>
      <w:pPr>
        <w:tabs>
          <w:tab w:val="left" w:pos="3121"/>
        </w:tabs>
        <w:ind w:left="2934" w:hanging="528"/>
      </w:pPr>
      <w:rPr>
        <w:rFonts w:hint="eastAsia"/>
      </w:rPr>
    </w:lvl>
    <w:lvl w:ilvl="6" w:tentative="1">
      <w:start w:val="1"/>
      <w:numFmt w:val="decimal"/>
      <w:lvlText w:val="%7."/>
      <w:lvlJc w:val="left"/>
      <w:pPr>
        <w:tabs>
          <w:tab w:val="left" w:pos="3433"/>
        </w:tabs>
        <w:ind w:left="3246" w:hanging="528"/>
      </w:pPr>
      <w:rPr>
        <w:rFonts w:hint="eastAsia"/>
      </w:rPr>
    </w:lvl>
    <w:lvl w:ilvl="7" w:tentative="1">
      <w:start w:val="1"/>
      <w:numFmt w:val="lowerLetter"/>
      <w:lvlText w:val="%8)"/>
      <w:lvlJc w:val="left"/>
      <w:pPr>
        <w:tabs>
          <w:tab w:val="left" w:pos="3745"/>
        </w:tabs>
        <w:ind w:left="3558" w:hanging="528"/>
      </w:pPr>
      <w:rPr>
        <w:rFonts w:hint="eastAsia"/>
      </w:rPr>
    </w:lvl>
    <w:lvl w:ilvl="8" w:tentative="1">
      <w:start w:val="1"/>
      <w:numFmt w:val="lowerRoman"/>
      <w:lvlText w:val="%9."/>
      <w:lvlJc w:val="right"/>
      <w:pPr>
        <w:tabs>
          <w:tab w:val="left" w:pos="4057"/>
        </w:tabs>
        <w:ind w:left="3870" w:hanging="528"/>
      </w:pPr>
      <w:rPr>
        <w:rFonts w:hint="eastAsia"/>
      </w:rPr>
    </w:lvl>
  </w:abstractNum>
  <w:abstractNum w:abstractNumId="232663878">
    <w:nsid w:val="0DDE2B46"/>
    <w:multiLevelType w:val="multilevel"/>
    <w:tmpl w:val="0DDE2B46"/>
    <w:lvl w:ilvl="0" w:tentative="1">
      <w:start w:val="1"/>
      <w:numFmt w:val="lowerLetter"/>
      <w:pStyle w:val="121"/>
      <w:suff w:val="nothing"/>
      <w:lvlText w:val="%1   "/>
      <w:lvlJc w:val="left"/>
      <w:pPr>
        <w:ind w:left="544" w:hanging="181"/>
      </w:pPr>
      <w:rPr>
        <w:rFonts w:hint="eastAsia" w:ascii="宋体" w:eastAsia="宋体"/>
        <w:b w:val="0"/>
        <w:i w:val="0"/>
        <w:sz w:val="18"/>
        <w:vertAlign w:val="superscript"/>
      </w:rPr>
    </w:lvl>
    <w:lvl w:ilvl="1" w:tentative="1">
      <w:start w:val="1"/>
      <w:numFmt w:val="lowerLetter"/>
      <w:lvlText w:val="%2"/>
      <w:lvlJc w:val="left"/>
      <w:pPr>
        <w:tabs>
          <w:tab w:val="left" w:pos="57"/>
        </w:tabs>
        <w:ind w:left="363" w:hanging="363"/>
      </w:pPr>
      <w:rPr>
        <w:rFonts w:hint="eastAsia"/>
      </w:rPr>
    </w:lvl>
    <w:lvl w:ilvl="2" w:tentative="1">
      <w:start w:val="1"/>
      <w:numFmt w:val="lowerRoman"/>
      <w:lvlText w:val="%3."/>
      <w:lvlJc w:val="right"/>
      <w:pPr>
        <w:tabs>
          <w:tab w:val="left" w:pos="57"/>
        </w:tabs>
        <w:ind w:left="363" w:hanging="363"/>
      </w:pPr>
      <w:rPr>
        <w:rFonts w:hint="eastAsia"/>
      </w:rPr>
    </w:lvl>
    <w:lvl w:ilvl="3" w:tentative="1">
      <w:start w:val="1"/>
      <w:numFmt w:val="decimal"/>
      <w:lvlText w:val="%4."/>
      <w:lvlJc w:val="left"/>
      <w:pPr>
        <w:tabs>
          <w:tab w:val="left" w:pos="57"/>
        </w:tabs>
        <w:ind w:left="363" w:hanging="363"/>
      </w:pPr>
      <w:rPr>
        <w:rFonts w:hint="eastAsia"/>
      </w:rPr>
    </w:lvl>
    <w:lvl w:ilvl="4" w:tentative="1">
      <w:start w:val="1"/>
      <w:numFmt w:val="lowerLetter"/>
      <w:lvlText w:val="%5)"/>
      <w:lvlJc w:val="left"/>
      <w:pPr>
        <w:tabs>
          <w:tab w:val="left" w:pos="57"/>
        </w:tabs>
        <w:ind w:left="363" w:hanging="363"/>
      </w:pPr>
      <w:rPr>
        <w:rFonts w:hint="eastAsia"/>
      </w:rPr>
    </w:lvl>
    <w:lvl w:ilvl="5" w:tentative="1">
      <w:start w:val="1"/>
      <w:numFmt w:val="lowerRoman"/>
      <w:lvlText w:val="%6."/>
      <w:lvlJc w:val="right"/>
      <w:pPr>
        <w:tabs>
          <w:tab w:val="left" w:pos="57"/>
        </w:tabs>
        <w:ind w:left="363" w:hanging="363"/>
      </w:pPr>
      <w:rPr>
        <w:rFonts w:hint="eastAsia"/>
      </w:rPr>
    </w:lvl>
    <w:lvl w:ilvl="6" w:tentative="1">
      <w:start w:val="1"/>
      <w:numFmt w:val="decimal"/>
      <w:lvlText w:val="%7."/>
      <w:lvlJc w:val="left"/>
      <w:pPr>
        <w:tabs>
          <w:tab w:val="left" w:pos="57"/>
        </w:tabs>
        <w:ind w:left="363" w:hanging="363"/>
      </w:pPr>
      <w:rPr>
        <w:rFonts w:hint="eastAsia"/>
      </w:rPr>
    </w:lvl>
    <w:lvl w:ilvl="7" w:tentative="1">
      <w:start w:val="1"/>
      <w:numFmt w:val="lowerLetter"/>
      <w:lvlText w:val="%8)"/>
      <w:lvlJc w:val="left"/>
      <w:pPr>
        <w:tabs>
          <w:tab w:val="left" w:pos="57"/>
        </w:tabs>
        <w:ind w:left="363" w:hanging="363"/>
      </w:pPr>
      <w:rPr>
        <w:rFonts w:hint="eastAsia"/>
      </w:rPr>
    </w:lvl>
    <w:lvl w:ilvl="8" w:tentative="1">
      <w:start w:val="1"/>
      <w:numFmt w:val="lowerRoman"/>
      <w:lvlText w:val="%9."/>
      <w:lvlJc w:val="right"/>
      <w:pPr>
        <w:tabs>
          <w:tab w:val="left" w:pos="57"/>
        </w:tabs>
        <w:ind w:left="363" w:hanging="363"/>
      </w:pPr>
      <w:rPr>
        <w:rFonts w:hint="eastAsia"/>
      </w:rPr>
    </w:lvl>
  </w:abstractNum>
  <w:abstractNum w:abstractNumId="499079226">
    <w:nsid w:val="1DBF583A"/>
    <w:multiLevelType w:val="multilevel"/>
    <w:tmpl w:val="1DBF583A"/>
    <w:lvl w:ilvl="0" w:tentative="1">
      <w:start w:val="1"/>
      <w:numFmt w:val="decimal"/>
      <w:pStyle w:val="68"/>
      <w:suff w:val="nothing"/>
      <w:lvlText w:val="注%1："/>
      <w:lvlJc w:val="left"/>
      <w:pPr>
        <w:ind w:left="811" w:hanging="448"/>
      </w:pPr>
      <w:rPr>
        <w:rFonts w:hint="eastAsia" w:ascii="黑体" w:eastAsia="黑体"/>
        <w:b w:val="0"/>
        <w:i w:val="0"/>
        <w:sz w:val="18"/>
        <w:szCs w:val="18"/>
      </w:rPr>
    </w:lvl>
    <w:lvl w:ilvl="1" w:tentative="1">
      <w:start w:val="1"/>
      <w:numFmt w:val="lowerLetter"/>
      <w:lvlText w:val="%2)"/>
      <w:lvlJc w:val="left"/>
      <w:pPr>
        <w:tabs>
          <w:tab w:val="left" w:pos="180"/>
        </w:tabs>
        <w:ind w:left="1172" w:hanging="629"/>
      </w:pPr>
      <w:rPr>
        <w:rFonts w:hint="eastAsia"/>
      </w:rPr>
    </w:lvl>
    <w:lvl w:ilvl="2" w:tentative="1">
      <w:start w:val="1"/>
      <w:numFmt w:val="lowerRoman"/>
      <w:lvlText w:val="%3."/>
      <w:lvlJc w:val="right"/>
      <w:pPr>
        <w:tabs>
          <w:tab w:val="left" w:pos="180"/>
        </w:tabs>
        <w:ind w:left="1172" w:hanging="629"/>
      </w:pPr>
      <w:rPr>
        <w:rFonts w:hint="eastAsia"/>
      </w:rPr>
    </w:lvl>
    <w:lvl w:ilvl="3" w:tentative="1">
      <w:start w:val="1"/>
      <w:numFmt w:val="decimal"/>
      <w:lvlText w:val="%4."/>
      <w:lvlJc w:val="left"/>
      <w:pPr>
        <w:tabs>
          <w:tab w:val="left" w:pos="180"/>
        </w:tabs>
        <w:ind w:left="1172" w:hanging="629"/>
      </w:pPr>
      <w:rPr>
        <w:rFonts w:hint="eastAsia"/>
      </w:rPr>
    </w:lvl>
    <w:lvl w:ilvl="4" w:tentative="1">
      <w:start w:val="1"/>
      <w:numFmt w:val="lowerLetter"/>
      <w:lvlText w:val="%5)"/>
      <w:lvlJc w:val="left"/>
      <w:pPr>
        <w:tabs>
          <w:tab w:val="left" w:pos="180"/>
        </w:tabs>
        <w:ind w:left="1172" w:hanging="629"/>
      </w:pPr>
      <w:rPr>
        <w:rFonts w:hint="eastAsia"/>
      </w:rPr>
    </w:lvl>
    <w:lvl w:ilvl="5" w:tentative="1">
      <w:start w:val="1"/>
      <w:numFmt w:val="lowerRoman"/>
      <w:lvlText w:val="%6."/>
      <w:lvlJc w:val="right"/>
      <w:pPr>
        <w:tabs>
          <w:tab w:val="left" w:pos="180"/>
        </w:tabs>
        <w:ind w:left="1172" w:hanging="629"/>
      </w:pPr>
      <w:rPr>
        <w:rFonts w:hint="eastAsia"/>
      </w:rPr>
    </w:lvl>
    <w:lvl w:ilvl="6" w:tentative="1">
      <w:start w:val="1"/>
      <w:numFmt w:val="decimal"/>
      <w:lvlText w:val="%7."/>
      <w:lvlJc w:val="left"/>
      <w:pPr>
        <w:tabs>
          <w:tab w:val="left" w:pos="180"/>
        </w:tabs>
        <w:ind w:left="1172" w:hanging="629"/>
      </w:pPr>
      <w:rPr>
        <w:rFonts w:hint="eastAsia"/>
      </w:rPr>
    </w:lvl>
    <w:lvl w:ilvl="7" w:tentative="1">
      <w:start w:val="1"/>
      <w:numFmt w:val="lowerLetter"/>
      <w:lvlText w:val="%8)"/>
      <w:lvlJc w:val="left"/>
      <w:pPr>
        <w:tabs>
          <w:tab w:val="left" w:pos="180"/>
        </w:tabs>
        <w:ind w:left="1172" w:hanging="629"/>
      </w:pPr>
      <w:rPr>
        <w:rFonts w:hint="eastAsia"/>
      </w:rPr>
    </w:lvl>
    <w:lvl w:ilvl="8" w:tentative="1">
      <w:start w:val="1"/>
      <w:numFmt w:val="lowerRoman"/>
      <w:lvlText w:val="%9."/>
      <w:lvlJc w:val="right"/>
      <w:pPr>
        <w:tabs>
          <w:tab w:val="left" w:pos="180"/>
        </w:tabs>
        <w:ind w:left="1172" w:hanging="629"/>
      </w:pPr>
      <w:rPr>
        <w:rFonts w:hint="eastAsia"/>
      </w:rPr>
    </w:lvl>
  </w:abstractNum>
  <w:abstractNum w:abstractNumId="533270883">
    <w:nsid w:val="1FC91163"/>
    <w:multiLevelType w:val="multilevel"/>
    <w:tmpl w:val="1FC91163"/>
    <w:lvl w:ilvl="0" w:tentative="1">
      <w:start w:val="1"/>
      <w:numFmt w:val="decimal"/>
      <w:pStyle w:val="48"/>
      <w:suff w:val="nothing"/>
      <w:lvlText w:val="%1　"/>
      <w:lvlJc w:val="left"/>
      <w:pPr>
        <w:ind w:left="0" w:firstLine="0"/>
      </w:pPr>
      <w:rPr>
        <w:rFonts w:hint="eastAsia" w:ascii="黑体" w:hAnsi="Times New Roman" w:eastAsia="黑体"/>
        <w:b w:val="0"/>
        <w:i w:val="0"/>
        <w:sz w:val="21"/>
        <w:szCs w:val="21"/>
      </w:rPr>
    </w:lvl>
    <w:lvl w:ilvl="1" w:tentative="1">
      <w:start w:val="1"/>
      <w:numFmt w:val="decimal"/>
      <w:pStyle w:val="45"/>
      <w:suff w:val="nothing"/>
      <w:lvlText w:val="%1.%2　"/>
      <w:lvlJc w:val="left"/>
      <w:pPr>
        <w:ind w:left="1985" w:firstLine="0"/>
      </w:pPr>
      <w:rPr>
        <w:rFonts w:hint="eastAsia" w:ascii="黑体" w:hAnsi="黑体" w:eastAsia="黑体" w:cs="Times New Roman"/>
        <w:b w:val="0"/>
        <w:bCs w:val="0"/>
        <w:i w:val="0"/>
        <w:iCs w:val="0"/>
        <w:caps w:val="0"/>
        <w:strike w:val="0"/>
        <w:dstrike w:val="0"/>
        <w:outline w:val="0"/>
        <w:shadow w:val="0"/>
        <w:spacing w:val="0"/>
        <w:kern w:val="0"/>
        <w:position w:val="0"/>
        <w:sz w:val="21"/>
        <w:szCs w:val="21"/>
        <w:u w:val="none"/>
      </w:rPr>
    </w:lvl>
    <w:lvl w:ilvl="2" w:tentative="1">
      <w:start w:val="1"/>
      <w:numFmt w:val="decimal"/>
      <w:pStyle w:val="49"/>
      <w:suff w:val="nothing"/>
      <w:lvlText w:val="%1.%2.%3　"/>
      <w:lvlJc w:val="left"/>
      <w:pPr>
        <w:ind w:left="284" w:firstLine="0"/>
      </w:pPr>
      <w:rPr>
        <w:rFonts w:hint="eastAsia" w:ascii="黑体" w:hAnsi="黑体" w:eastAsia="黑体"/>
        <w:b w:val="0"/>
        <w:i w:val="0"/>
        <w:sz w:val="21"/>
      </w:rPr>
    </w:lvl>
    <w:lvl w:ilvl="3" w:tentative="1">
      <w:start w:val="1"/>
      <w:numFmt w:val="decimal"/>
      <w:pStyle w:val="54"/>
      <w:suff w:val="nothing"/>
      <w:lvlText w:val="%1.%2.%3.%4　"/>
      <w:lvlJc w:val="left"/>
      <w:pPr>
        <w:ind w:left="993" w:firstLine="0"/>
      </w:pPr>
      <w:rPr>
        <w:rFonts w:ascii="宋体" w:hAnsi="宋体" w:eastAsia="宋体" w:cs="Times New Roman"/>
        <w:b w:val="0"/>
        <w:bCs w:val="0"/>
        <w:i w:val="0"/>
        <w:iCs w:val="0"/>
        <w:caps w:val="0"/>
        <w:smallCaps w:val="0"/>
        <w:strike w:val="0"/>
        <w:dstrike w:val="0"/>
        <w:outline w:val="0"/>
        <w:shadow w:val="0"/>
        <w:snapToGrid w:val="0"/>
        <w:color w:val="auto"/>
        <w:spacing w:val="0"/>
        <w:w w:val="100"/>
        <w:kern w:val="0"/>
        <w:position w:val="0"/>
        <w:sz w:val="21"/>
        <w:szCs w:val="16"/>
        <w:u w:val="none"/>
        <w:shd w:val="clear" w:color="auto" w:fill="auto"/>
      </w:rPr>
    </w:lvl>
    <w:lvl w:ilvl="4" w:tentative="1">
      <w:start w:val="1"/>
      <w:numFmt w:val="decimal"/>
      <w:pStyle w:val="58"/>
      <w:suff w:val="nothing"/>
      <w:lvlText w:val="%1.%2.%3.%4.%5　"/>
      <w:lvlJc w:val="left"/>
      <w:pPr>
        <w:ind w:left="0" w:firstLine="0"/>
      </w:pPr>
      <w:rPr>
        <w:rFonts w:hint="eastAsia" w:ascii="黑体" w:hAnsi="Times New Roman" w:eastAsia="黑体"/>
        <w:b w:val="0"/>
        <w:i w:val="0"/>
        <w:sz w:val="21"/>
      </w:rPr>
    </w:lvl>
    <w:lvl w:ilvl="5" w:tentative="1">
      <w:start w:val="1"/>
      <w:numFmt w:val="decimal"/>
      <w:pStyle w:val="59"/>
      <w:suff w:val="nothing"/>
      <w:lvlText w:val="%1.%2.%3.%4.%5.%6　"/>
      <w:lvlJc w:val="left"/>
      <w:pPr>
        <w:ind w:left="0" w:firstLine="0"/>
      </w:pPr>
      <w:rPr>
        <w:rFonts w:hint="eastAsia" w:ascii="黑体" w:hAnsi="Times New Roman" w:eastAsia="黑体"/>
        <w:b w:val="0"/>
        <w:i w:val="0"/>
        <w:sz w:val="21"/>
      </w:rPr>
    </w:lvl>
    <w:lvl w:ilvl="6" w:tentative="1">
      <w:start w:val="1"/>
      <w:numFmt w:val="decimal"/>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54953592">
    <w:nsid w:val="093C6778"/>
    <w:multiLevelType w:val="multilevel"/>
    <w:tmpl w:val="093C6778"/>
    <w:lvl w:ilvl="0" w:tentative="1">
      <w:start w:val="1"/>
      <w:numFmt w:val="decimal"/>
      <w:pStyle w:val="117"/>
      <w:suff w:val="nothing"/>
      <w:lvlText w:val="示例%1："/>
      <w:lvlJc w:val="left"/>
      <w:pPr>
        <w:ind w:left="0" w:firstLine="397"/>
      </w:pPr>
      <w:rPr>
        <w:rFonts w:hint="eastAsia" w:ascii="黑体" w:eastAsia="黑体"/>
        <w:sz w:val="18"/>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126943917">
    <w:nsid w:val="079102AD"/>
    <w:multiLevelType w:val="multilevel"/>
    <w:tmpl w:val="079102AD"/>
    <w:lvl w:ilvl="0" w:tentative="1">
      <w:start w:val="1"/>
      <w:numFmt w:val="decimal"/>
      <w:pStyle w:val="61"/>
      <w:suff w:val="nothing"/>
      <w:lvlText w:val="注%1："/>
      <w:lvlJc w:val="left"/>
      <w:pPr>
        <w:ind w:left="811" w:hanging="448"/>
      </w:pPr>
      <w:rPr>
        <w:rFonts w:hint="eastAsia" w:ascii="黑体" w:eastAsia="黑体"/>
        <w:b w:val="0"/>
        <w:i w:val="0"/>
        <w:sz w:val="18"/>
        <w:lang w:val="en-US"/>
      </w:rPr>
    </w:lvl>
    <w:lvl w:ilvl="1" w:tentative="1">
      <w:start w:val="1"/>
      <w:numFmt w:val="lowerLetter"/>
      <w:lvlText w:val="%2)"/>
      <w:lvlJc w:val="left"/>
      <w:pPr>
        <w:tabs>
          <w:tab w:val="left" w:pos="0"/>
        </w:tabs>
        <w:ind w:left="992" w:hanging="629"/>
      </w:pPr>
      <w:rPr>
        <w:rFonts w:hint="eastAsia"/>
      </w:rPr>
    </w:lvl>
    <w:lvl w:ilvl="2" w:tentative="1">
      <w:start w:val="1"/>
      <w:numFmt w:val="lowerRoman"/>
      <w:lvlText w:val="%3."/>
      <w:lvlJc w:val="right"/>
      <w:pPr>
        <w:tabs>
          <w:tab w:val="left" w:pos="0"/>
        </w:tabs>
        <w:ind w:left="992" w:hanging="629"/>
      </w:pPr>
      <w:rPr>
        <w:rFonts w:hint="eastAsia"/>
      </w:rPr>
    </w:lvl>
    <w:lvl w:ilvl="3" w:tentative="1">
      <w:start w:val="1"/>
      <w:numFmt w:val="decimal"/>
      <w:lvlText w:val="%4."/>
      <w:lvlJc w:val="left"/>
      <w:pPr>
        <w:tabs>
          <w:tab w:val="left" w:pos="0"/>
        </w:tabs>
        <w:ind w:left="992" w:hanging="629"/>
      </w:pPr>
      <w:rPr>
        <w:rFonts w:hint="eastAsia"/>
      </w:rPr>
    </w:lvl>
    <w:lvl w:ilvl="4" w:tentative="1">
      <w:start w:val="1"/>
      <w:numFmt w:val="lowerLetter"/>
      <w:lvlText w:val="%5)"/>
      <w:lvlJc w:val="left"/>
      <w:pPr>
        <w:tabs>
          <w:tab w:val="left" w:pos="0"/>
        </w:tabs>
        <w:ind w:left="992" w:hanging="629"/>
      </w:pPr>
      <w:rPr>
        <w:rFonts w:hint="eastAsia"/>
      </w:rPr>
    </w:lvl>
    <w:lvl w:ilvl="5" w:tentative="1">
      <w:start w:val="1"/>
      <w:numFmt w:val="lowerRoman"/>
      <w:lvlText w:val="%6."/>
      <w:lvlJc w:val="right"/>
      <w:pPr>
        <w:tabs>
          <w:tab w:val="left" w:pos="0"/>
        </w:tabs>
        <w:ind w:left="992" w:hanging="629"/>
      </w:pPr>
      <w:rPr>
        <w:rFonts w:hint="eastAsia"/>
      </w:rPr>
    </w:lvl>
    <w:lvl w:ilvl="6" w:tentative="1">
      <w:start w:val="1"/>
      <w:numFmt w:val="decimal"/>
      <w:lvlText w:val="%7."/>
      <w:lvlJc w:val="left"/>
      <w:pPr>
        <w:tabs>
          <w:tab w:val="left" w:pos="0"/>
        </w:tabs>
        <w:ind w:left="992" w:hanging="629"/>
      </w:pPr>
      <w:rPr>
        <w:rFonts w:hint="eastAsia"/>
      </w:rPr>
    </w:lvl>
    <w:lvl w:ilvl="7" w:tentative="1">
      <w:start w:val="1"/>
      <w:numFmt w:val="lowerLetter"/>
      <w:lvlText w:val="%8)"/>
      <w:lvlJc w:val="left"/>
      <w:pPr>
        <w:tabs>
          <w:tab w:val="left" w:pos="0"/>
        </w:tabs>
        <w:ind w:left="992" w:hanging="629"/>
      </w:pPr>
      <w:rPr>
        <w:rFonts w:hint="eastAsia"/>
      </w:rPr>
    </w:lvl>
    <w:lvl w:ilvl="8" w:tentative="1">
      <w:start w:val="1"/>
      <w:numFmt w:val="lowerRoman"/>
      <w:lvlText w:val="%9."/>
      <w:lvlJc w:val="right"/>
      <w:pPr>
        <w:tabs>
          <w:tab w:val="left" w:pos="0"/>
        </w:tabs>
        <w:ind w:left="992" w:hanging="629"/>
      </w:pPr>
      <w:rPr>
        <w:rFonts w:hint="eastAsia"/>
      </w:rPr>
    </w:lvl>
  </w:abstractNum>
  <w:abstractNum w:abstractNumId="1030960664">
    <w:nsid w:val="3D733618"/>
    <w:multiLevelType w:val="multilevel"/>
    <w:tmpl w:val="3D733618"/>
    <w:lvl w:ilvl="0" w:tentative="1">
      <w:start w:val="1"/>
      <w:numFmt w:val="decimal"/>
      <w:pStyle w:val="28"/>
      <w:lvlText w:val="%1)"/>
      <w:lvlJc w:val="left"/>
      <w:pPr>
        <w:tabs>
          <w:tab w:val="left" w:pos="0"/>
        </w:tabs>
        <w:ind w:left="720" w:hanging="357"/>
      </w:pPr>
      <w:rPr>
        <w:rFonts w:hint="eastAsia"/>
      </w:rPr>
    </w:lvl>
    <w:lvl w:ilvl="1" w:tentative="1">
      <w:start w:val="1"/>
      <w:numFmt w:val="lowerLetter"/>
      <w:lvlText w:val="%2)"/>
      <w:lvlJc w:val="left"/>
      <w:pPr>
        <w:tabs>
          <w:tab w:val="left" w:pos="504"/>
        </w:tabs>
        <w:ind w:left="544" w:hanging="544"/>
      </w:pPr>
      <w:rPr>
        <w:rFonts w:hint="eastAsia"/>
      </w:rPr>
    </w:lvl>
    <w:lvl w:ilvl="2" w:tentative="1">
      <w:start w:val="1"/>
      <w:numFmt w:val="lowerRoman"/>
      <w:lvlText w:val="%3."/>
      <w:lvlJc w:val="right"/>
      <w:pPr>
        <w:tabs>
          <w:tab w:val="left" w:pos="532"/>
        </w:tabs>
        <w:ind w:left="544" w:hanging="544"/>
      </w:pPr>
      <w:rPr>
        <w:rFonts w:hint="eastAsia"/>
      </w:rPr>
    </w:lvl>
    <w:lvl w:ilvl="3" w:tentative="1">
      <w:start w:val="1"/>
      <w:numFmt w:val="decimal"/>
      <w:lvlText w:val="%4."/>
      <w:lvlJc w:val="left"/>
      <w:pPr>
        <w:tabs>
          <w:tab w:val="left" w:pos="560"/>
        </w:tabs>
        <w:ind w:left="544" w:hanging="544"/>
      </w:pPr>
      <w:rPr>
        <w:rFonts w:hint="eastAsia"/>
      </w:rPr>
    </w:lvl>
    <w:lvl w:ilvl="4" w:tentative="1">
      <w:start w:val="1"/>
      <w:numFmt w:val="lowerLetter"/>
      <w:lvlText w:val="%5)"/>
      <w:lvlJc w:val="left"/>
      <w:pPr>
        <w:tabs>
          <w:tab w:val="left" w:pos="588"/>
        </w:tabs>
        <w:ind w:left="544" w:hanging="544"/>
      </w:pPr>
      <w:rPr>
        <w:rFonts w:hint="eastAsia"/>
      </w:rPr>
    </w:lvl>
    <w:lvl w:ilvl="5" w:tentative="1">
      <w:start w:val="1"/>
      <w:numFmt w:val="lowerRoman"/>
      <w:lvlText w:val="%6."/>
      <w:lvlJc w:val="right"/>
      <w:pPr>
        <w:tabs>
          <w:tab w:val="left" w:pos="616"/>
        </w:tabs>
        <w:ind w:left="544" w:hanging="544"/>
      </w:pPr>
      <w:rPr>
        <w:rFonts w:hint="eastAsia"/>
      </w:rPr>
    </w:lvl>
    <w:lvl w:ilvl="6" w:tentative="1">
      <w:start w:val="1"/>
      <w:numFmt w:val="decimal"/>
      <w:lvlText w:val="%7."/>
      <w:lvlJc w:val="left"/>
      <w:pPr>
        <w:tabs>
          <w:tab w:val="left" w:pos="644"/>
        </w:tabs>
        <w:ind w:left="544" w:hanging="544"/>
      </w:pPr>
      <w:rPr>
        <w:rFonts w:hint="eastAsia"/>
      </w:rPr>
    </w:lvl>
    <w:lvl w:ilvl="7" w:tentative="1">
      <w:start w:val="1"/>
      <w:numFmt w:val="lowerLetter"/>
      <w:lvlText w:val="%8)"/>
      <w:lvlJc w:val="left"/>
      <w:pPr>
        <w:tabs>
          <w:tab w:val="left" w:pos="672"/>
        </w:tabs>
        <w:ind w:left="544" w:hanging="544"/>
      </w:pPr>
      <w:rPr>
        <w:rFonts w:hint="eastAsia"/>
      </w:rPr>
    </w:lvl>
    <w:lvl w:ilvl="8" w:tentative="1">
      <w:start w:val="1"/>
      <w:numFmt w:val="lowerRoman"/>
      <w:lvlText w:val="%9."/>
      <w:lvlJc w:val="right"/>
      <w:pPr>
        <w:tabs>
          <w:tab w:val="left" w:pos="700"/>
        </w:tabs>
        <w:ind w:left="544" w:hanging="544"/>
      </w:pPr>
      <w:rPr>
        <w:rFonts w:hint="eastAsia"/>
      </w:rPr>
    </w:lvl>
  </w:abstractNum>
  <w:abstractNum w:abstractNumId="1089890136">
    <w:nsid w:val="40F66758"/>
    <w:multiLevelType w:val="multilevel"/>
    <w:tmpl w:val="40F66758"/>
    <w:lvl w:ilvl="0" w:tentative="1">
      <w:start w:val="1"/>
      <w:numFmt w:val="lowerLetter"/>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153765264">
    <w:nsid w:val="44C50F90"/>
    <w:multiLevelType w:val="multilevel"/>
    <w:tmpl w:val="44C50F90"/>
    <w:lvl w:ilvl="0" w:tentative="1">
      <w:start w:val="1"/>
      <w:numFmt w:val="lowerLetter"/>
      <w:pStyle w:val="62"/>
      <w:lvlText w:val="%1)"/>
      <w:lvlJc w:val="left"/>
      <w:pPr>
        <w:tabs>
          <w:tab w:val="left" w:pos="839"/>
        </w:tabs>
        <w:ind w:left="839" w:hanging="419"/>
      </w:pPr>
      <w:rPr>
        <w:rFonts w:hint="eastAsia" w:ascii="宋体" w:hAnsi="宋体" w:eastAsia="宋体"/>
        <w:b w:val="0"/>
        <w:i w:val="0"/>
        <w:sz w:val="20"/>
        <w:szCs w:val="21"/>
      </w:rPr>
    </w:lvl>
    <w:lvl w:ilvl="1" w:tentative="1">
      <w:start w:val="1"/>
      <w:numFmt w:val="decimal"/>
      <w:pStyle w:val="57"/>
      <w:lvlText w:val="%2)"/>
      <w:lvlJc w:val="left"/>
      <w:pPr>
        <w:tabs>
          <w:tab w:val="left" w:pos="1259"/>
        </w:tabs>
        <w:ind w:left="1259" w:hanging="420"/>
      </w:pPr>
      <w:rPr>
        <w:rFonts w:hint="eastAsia" w:ascii="宋体" w:hAnsi="宋体" w:eastAsia="宋体"/>
        <w:b w:val="0"/>
        <w:i w:val="0"/>
        <w:sz w:val="20"/>
      </w:rPr>
    </w:lvl>
    <w:lvl w:ilvl="2" w:tentative="1">
      <w:start w:val="1"/>
      <w:numFmt w:val="decimal"/>
      <w:lvlText w:val="(%3)"/>
      <w:lvlJc w:val="left"/>
      <w:pPr>
        <w:tabs>
          <w:tab w:val="left" w:pos="0"/>
        </w:tabs>
        <w:ind w:left="1678" w:hanging="419"/>
      </w:pPr>
      <w:rPr>
        <w:rFonts w:hint="eastAsia" w:ascii="宋体" w:hAnsi="宋体" w:eastAsia="宋体"/>
        <w:b w:val="0"/>
        <w:i w:val="0"/>
        <w:sz w:val="20"/>
        <w:szCs w:val="21"/>
      </w:rPr>
    </w:lvl>
    <w:lvl w:ilvl="3" w:tentative="1">
      <w:start w:val="1"/>
      <w:numFmt w:val="decimal"/>
      <w:lvlText w:val="%4."/>
      <w:lvlJc w:val="left"/>
      <w:pPr>
        <w:tabs>
          <w:tab w:val="left" w:pos="2098"/>
        </w:tabs>
        <w:ind w:left="2098" w:hanging="420"/>
      </w:pPr>
      <w:rPr>
        <w:rFonts w:hint="eastAsia"/>
      </w:rPr>
    </w:lvl>
    <w:lvl w:ilvl="4" w:tentative="1">
      <w:start w:val="1"/>
      <w:numFmt w:val="lowerLetter"/>
      <w:lvlText w:val="%5)"/>
      <w:lvlJc w:val="left"/>
      <w:pPr>
        <w:tabs>
          <w:tab w:val="left" w:pos="2517"/>
        </w:tabs>
        <w:ind w:left="2517" w:hanging="419"/>
      </w:pPr>
      <w:rPr>
        <w:rFonts w:hint="eastAsia"/>
      </w:rPr>
    </w:lvl>
    <w:lvl w:ilvl="5" w:tentative="1">
      <w:start w:val="1"/>
      <w:numFmt w:val="lowerRoman"/>
      <w:lvlText w:val="%6."/>
      <w:lvlJc w:val="right"/>
      <w:pPr>
        <w:tabs>
          <w:tab w:val="left" w:pos="2942"/>
        </w:tabs>
        <w:ind w:left="2937" w:hanging="420"/>
      </w:pPr>
      <w:rPr>
        <w:rFonts w:hint="eastAsia"/>
      </w:rPr>
    </w:lvl>
    <w:lvl w:ilvl="6" w:tentative="1">
      <w:start w:val="1"/>
      <w:numFmt w:val="decimal"/>
      <w:lvlText w:val="%7."/>
      <w:lvlJc w:val="left"/>
      <w:pPr>
        <w:tabs>
          <w:tab w:val="left" w:pos="3362"/>
        </w:tabs>
        <w:ind w:left="3356" w:hanging="414"/>
      </w:pPr>
      <w:rPr>
        <w:rFonts w:hint="eastAsia"/>
      </w:rPr>
    </w:lvl>
    <w:lvl w:ilvl="7" w:tentative="1">
      <w:start w:val="1"/>
      <w:numFmt w:val="lowerLetter"/>
      <w:lvlText w:val="%8)"/>
      <w:lvlJc w:val="left"/>
      <w:pPr>
        <w:tabs>
          <w:tab w:val="left" w:pos="3781"/>
        </w:tabs>
        <w:ind w:left="3776" w:hanging="414"/>
      </w:pPr>
      <w:rPr>
        <w:rFonts w:hint="eastAsia"/>
      </w:rPr>
    </w:lvl>
    <w:lvl w:ilvl="8" w:tentative="1">
      <w:start w:val="1"/>
      <w:numFmt w:val="lowerRoman"/>
      <w:lvlText w:val="%9."/>
      <w:lvlJc w:val="right"/>
      <w:pPr>
        <w:tabs>
          <w:tab w:val="left" w:pos="4201"/>
        </w:tabs>
        <w:ind w:left="4201" w:hanging="420"/>
      </w:pPr>
      <w:rPr>
        <w:rFonts w:hint="eastAsia"/>
      </w:rPr>
    </w:lvl>
  </w:abstractNum>
  <w:abstractNum w:abstractNumId="1265842783">
    <w:nsid w:val="4B733A5F"/>
    <w:multiLevelType w:val="multilevel"/>
    <w:tmpl w:val="4B733A5F"/>
    <w:lvl w:ilvl="0" w:tentative="1">
      <w:start w:val="1"/>
      <w:numFmt w:val="decimal"/>
      <w:pStyle w:val="65"/>
      <w:suff w:val="nothing"/>
      <w:lvlText w:val="示例%1："/>
      <w:lvlJc w:val="left"/>
      <w:pPr>
        <w:ind w:left="0" w:firstLine="363"/>
      </w:pPr>
      <w:rPr>
        <w:rFonts w:hint="eastAsia" w:ascii="黑体" w:eastAsia="黑体"/>
        <w:b w:val="0"/>
        <w:i w:val="0"/>
        <w:sz w:val="18"/>
        <w:szCs w:val="18"/>
      </w:rPr>
    </w:lvl>
    <w:lvl w:ilvl="1" w:tentative="1">
      <w:start w:val="1"/>
      <w:numFmt w:val="lowerLetter"/>
      <w:lvlText w:val="%2)"/>
      <w:lvlJc w:val="left"/>
      <w:pPr>
        <w:ind w:left="0" w:firstLine="0"/>
      </w:pPr>
      <w:rPr>
        <w:rFonts w:hint="eastAsia"/>
      </w:rPr>
    </w:lvl>
    <w:lvl w:ilvl="2" w:tentative="1">
      <w:start w:val="1"/>
      <w:numFmt w:val="lowerRoman"/>
      <w:lvlText w:val="%3."/>
      <w:lvlJc w:val="right"/>
      <w:pPr>
        <w:ind w:left="839" w:hanging="442"/>
      </w:pPr>
      <w:rPr>
        <w:rFonts w:hint="eastAsia"/>
      </w:rPr>
    </w:lvl>
    <w:lvl w:ilvl="3" w:tentative="1">
      <w:start w:val="1"/>
      <w:numFmt w:val="decimal"/>
      <w:lvlText w:val="%4."/>
      <w:lvlJc w:val="left"/>
      <w:pPr>
        <w:ind w:left="839" w:hanging="442"/>
      </w:pPr>
      <w:rPr>
        <w:rFonts w:hint="eastAsia"/>
      </w:rPr>
    </w:lvl>
    <w:lvl w:ilvl="4" w:tentative="1">
      <w:start w:val="1"/>
      <w:numFmt w:val="lowerLetter"/>
      <w:lvlText w:val="%5)"/>
      <w:lvlJc w:val="left"/>
      <w:pPr>
        <w:ind w:left="839" w:hanging="442"/>
      </w:pPr>
      <w:rPr>
        <w:rFonts w:hint="eastAsia"/>
      </w:rPr>
    </w:lvl>
    <w:lvl w:ilvl="5" w:tentative="1">
      <w:start w:val="1"/>
      <w:numFmt w:val="lowerRoman"/>
      <w:lvlText w:val="%6."/>
      <w:lvlJc w:val="right"/>
      <w:pPr>
        <w:ind w:left="839" w:hanging="442"/>
      </w:pPr>
      <w:rPr>
        <w:rFonts w:hint="eastAsia"/>
      </w:rPr>
    </w:lvl>
    <w:lvl w:ilvl="6" w:tentative="1">
      <w:start w:val="1"/>
      <w:numFmt w:val="decimal"/>
      <w:lvlText w:val="%7."/>
      <w:lvlJc w:val="left"/>
      <w:pPr>
        <w:ind w:left="839" w:hanging="442"/>
      </w:pPr>
      <w:rPr>
        <w:rFonts w:hint="eastAsia"/>
      </w:rPr>
    </w:lvl>
    <w:lvl w:ilvl="7" w:tentative="1">
      <w:start w:val="1"/>
      <w:numFmt w:val="lowerLetter"/>
      <w:lvlText w:val="%8)"/>
      <w:lvlJc w:val="left"/>
      <w:pPr>
        <w:ind w:left="839" w:hanging="442"/>
      </w:pPr>
      <w:rPr>
        <w:rFonts w:hint="eastAsia"/>
      </w:rPr>
    </w:lvl>
    <w:lvl w:ilvl="8" w:tentative="1">
      <w:start w:val="1"/>
      <w:numFmt w:val="lowerRoman"/>
      <w:lvlText w:val="%9."/>
      <w:lvlJc w:val="right"/>
      <w:pPr>
        <w:ind w:left="839" w:hanging="442"/>
      </w:pPr>
      <w:rPr>
        <w:rFonts w:hint="eastAsia"/>
      </w:rPr>
    </w:lvl>
  </w:abstractNum>
  <w:abstractNum w:abstractNumId="1434200821">
    <w:nsid w:val="557C2AF5"/>
    <w:multiLevelType w:val="multilevel"/>
    <w:tmpl w:val="557C2AF5"/>
    <w:lvl w:ilvl="0" w:tentative="1">
      <w:start w:val="1"/>
      <w:numFmt w:val="decimal"/>
      <w:pStyle w:val="128"/>
      <w:suff w:val="nothing"/>
      <w:lvlText w:val="图%1　"/>
      <w:lvlJc w:val="left"/>
      <w:pPr>
        <w:ind w:left="0" w:firstLine="0"/>
      </w:pPr>
      <w:rPr>
        <w:rFonts w:hint="eastAsia" w:ascii="黑体" w:hAnsi="Times New Roman" w:eastAsia="黑体"/>
        <w:b w:val="0"/>
        <w:i w:val="0"/>
        <w:sz w:val="21"/>
      </w:rPr>
    </w:lvl>
    <w:lvl w:ilvl="1" w:tentative="1">
      <w:start w:val="1"/>
      <w:numFmt w:val="decimal"/>
      <w:suff w:val="nothing"/>
      <w:lvlText w:val="%1%2　"/>
      <w:lvlJc w:val="left"/>
      <w:pPr>
        <w:ind w:left="0" w:firstLine="0"/>
      </w:pPr>
      <w:rPr>
        <w:rFonts w:hint="default" w:ascii="Times New Roman" w:hAnsi="Times New Roman" w:eastAsia="黑体"/>
        <w:b w:val="0"/>
        <w:i w:val="0"/>
        <w:sz w:val="21"/>
      </w:rPr>
    </w:lvl>
    <w:lvl w:ilvl="2" w:tentative="1">
      <w:start w:val="1"/>
      <w:numFmt w:val="decimal"/>
      <w:suff w:val="nothing"/>
      <w:lvlText w:val="%1%2.%3　"/>
      <w:lvlJc w:val="left"/>
      <w:pPr>
        <w:ind w:left="0" w:firstLine="0"/>
      </w:pPr>
      <w:rPr>
        <w:rFonts w:hint="default" w:ascii="Times New Roman" w:hAnsi="Times New Roman" w:eastAsia="黑体"/>
        <w:b w:val="0"/>
        <w:i w:val="0"/>
        <w:sz w:val="21"/>
      </w:rPr>
    </w:lvl>
    <w:lvl w:ilvl="3" w:tentative="1">
      <w:start w:val="1"/>
      <w:numFmt w:val="decimal"/>
      <w:suff w:val="nothing"/>
      <w:lvlText w:val="%1%2.%3.%4　"/>
      <w:lvlJc w:val="left"/>
      <w:pPr>
        <w:ind w:left="0" w:firstLine="0"/>
      </w:pPr>
      <w:rPr>
        <w:rFonts w:hint="default" w:ascii="Times New Roman" w:hAnsi="Times New Roman" w:eastAsia="黑体"/>
        <w:b w:val="0"/>
        <w:i w:val="0"/>
        <w:sz w:val="21"/>
      </w:rPr>
    </w:lvl>
    <w:lvl w:ilvl="4" w:tentative="1">
      <w:start w:val="1"/>
      <w:numFmt w:val="decimal"/>
      <w:suff w:val="nothing"/>
      <w:lvlText w:val="%1%2.%3.%4.%5　"/>
      <w:lvlJc w:val="left"/>
      <w:pPr>
        <w:ind w:left="0" w:firstLine="0"/>
      </w:pPr>
      <w:rPr>
        <w:rFonts w:hint="default" w:ascii="Times New Roman" w:hAnsi="Times New Roman" w:eastAsia="黑体"/>
        <w:b w:val="0"/>
        <w:i w:val="0"/>
        <w:sz w:val="21"/>
      </w:rPr>
    </w:lvl>
    <w:lvl w:ilvl="5" w:tentative="1">
      <w:start w:val="1"/>
      <w:numFmt w:val="decimal"/>
      <w:suff w:val="nothing"/>
      <w:lvlText w:val="%1%2.%3.%4.%5.%6　"/>
      <w:lvlJc w:val="left"/>
      <w:pPr>
        <w:ind w:left="0" w:firstLine="0"/>
      </w:pPr>
      <w:rPr>
        <w:rFonts w:hint="default" w:ascii="Times New Roman" w:hAnsi="Times New Roman" w:eastAsia="黑体"/>
        <w:b w:val="0"/>
        <w:i w:val="0"/>
        <w:sz w:val="21"/>
      </w:rPr>
    </w:lvl>
    <w:lvl w:ilvl="6" w:tentative="1">
      <w:start w:val="1"/>
      <w:numFmt w:val="decimal"/>
      <w:suff w:val="nothing"/>
      <w:lvlText w:val="%1%2.%3.%4.%5.%6.%7　"/>
      <w:lvlJc w:val="left"/>
      <w:pPr>
        <w:ind w:left="0" w:firstLine="0"/>
      </w:pPr>
      <w:rPr>
        <w:rFonts w:hint="default" w:ascii="Times New Roman" w:hAnsi="Times New Roman"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622498754">
    <w:nsid w:val="60B55DC2"/>
    <w:multiLevelType w:val="multilevel"/>
    <w:tmpl w:val="60B55DC2"/>
    <w:lvl w:ilvl="0" w:tentative="1">
      <w:start w:val="1"/>
      <w:numFmt w:val="upperLetter"/>
      <w:pStyle w:val="88"/>
      <w:lvlText w:val="%1"/>
      <w:lvlJc w:val="left"/>
      <w:pPr>
        <w:tabs>
          <w:tab w:val="left" w:pos="0"/>
        </w:tabs>
        <w:ind w:left="0" w:hanging="425"/>
      </w:pPr>
      <w:rPr>
        <w:rFonts w:hint="eastAsia"/>
      </w:rPr>
    </w:lvl>
    <w:lvl w:ilvl="1" w:tentative="1">
      <w:start w:val="1"/>
      <w:numFmt w:val="decimal"/>
      <w:pStyle w:val="89"/>
      <w:suff w:val="nothing"/>
      <w:lvlText w:val="表%1.%2　"/>
      <w:lvlJc w:val="left"/>
      <w:pPr>
        <w:ind w:left="567" w:hanging="567"/>
      </w:pPr>
      <w:rPr>
        <w:rFonts w:hint="eastAsia"/>
      </w:rPr>
    </w:lvl>
    <w:lvl w:ilvl="2" w:tentative="1">
      <w:start w:val="1"/>
      <w:numFmt w:val="decimal"/>
      <w:lvlText w:val="%1.%2.%3"/>
      <w:lvlJc w:val="left"/>
      <w:pPr>
        <w:tabs>
          <w:tab w:val="left" w:pos="993"/>
        </w:tabs>
        <w:ind w:left="993" w:hanging="567"/>
      </w:pPr>
      <w:rPr>
        <w:rFonts w:hint="eastAsia"/>
      </w:rPr>
    </w:lvl>
    <w:lvl w:ilvl="3" w:tentative="1">
      <w:start w:val="1"/>
      <w:numFmt w:val="decimal"/>
      <w:lvlText w:val="%1.%2.%3.%4"/>
      <w:lvlJc w:val="left"/>
      <w:pPr>
        <w:tabs>
          <w:tab w:val="left" w:pos="2291"/>
        </w:tabs>
        <w:ind w:left="1559" w:hanging="708"/>
      </w:pPr>
      <w:rPr>
        <w:rFonts w:hint="eastAsia"/>
      </w:rPr>
    </w:lvl>
    <w:lvl w:ilvl="4" w:tentative="1">
      <w:start w:val="1"/>
      <w:numFmt w:val="decimal"/>
      <w:lvlText w:val="%1.%2.%3.%4.%5"/>
      <w:lvlJc w:val="left"/>
      <w:pPr>
        <w:tabs>
          <w:tab w:val="left" w:pos="3076"/>
        </w:tabs>
        <w:ind w:left="2126" w:hanging="850"/>
      </w:pPr>
      <w:rPr>
        <w:rFonts w:hint="eastAsia"/>
      </w:rPr>
    </w:lvl>
    <w:lvl w:ilvl="5" w:tentative="1">
      <w:start w:val="1"/>
      <w:numFmt w:val="decimal"/>
      <w:lvlText w:val="%1.%2.%3.%4.%5.%6"/>
      <w:lvlJc w:val="left"/>
      <w:pPr>
        <w:tabs>
          <w:tab w:val="left" w:pos="3861"/>
        </w:tabs>
        <w:ind w:left="2835" w:hanging="1134"/>
      </w:pPr>
      <w:rPr>
        <w:rFonts w:hint="eastAsia"/>
      </w:rPr>
    </w:lvl>
    <w:lvl w:ilvl="6" w:tentative="1">
      <w:start w:val="1"/>
      <w:numFmt w:val="decimal"/>
      <w:lvlText w:val="%1.%2.%3.%4.%5.%6.%7"/>
      <w:lvlJc w:val="left"/>
      <w:pPr>
        <w:tabs>
          <w:tab w:val="left" w:pos="4646"/>
        </w:tabs>
        <w:ind w:left="3402" w:hanging="1276"/>
      </w:pPr>
      <w:rPr>
        <w:rFonts w:hint="eastAsia"/>
      </w:rPr>
    </w:lvl>
    <w:lvl w:ilvl="7" w:tentative="1">
      <w:start w:val="1"/>
      <w:numFmt w:val="decimal"/>
      <w:lvlText w:val="%1.%2.%3.%4.%5.%6.%7.%8"/>
      <w:lvlJc w:val="left"/>
      <w:pPr>
        <w:tabs>
          <w:tab w:val="left" w:pos="5431"/>
        </w:tabs>
        <w:ind w:left="3969" w:hanging="1418"/>
      </w:pPr>
      <w:rPr>
        <w:rFonts w:hint="eastAsia"/>
      </w:rPr>
    </w:lvl>
    <w:lvl w:ilvl="8" w:tentative="1">
      <w:start w:val="1"/>
      <w:numFmt w:val="decimal"/>
      <w:lvlText w:val="%1.%2.%3.%4.%5.%6.%7.%8.%9"/>
      <w:lvlJc w:val="left"/>
      <w:pPr>
        <w:tabs>
          <w:tab w:val="left" w:pos="6217"/>
        </w:tabs>
        <w:ind w:left="4677" w:hanging="1700"/>
      </w:pPr>
      <w:rPr>
        <w:rFonts w:hint="eastAsia"/>
      </w:rPr>
    </w:lvl>
  </w:abstractNum>
  <w:abstractNum w:abstractNumId="1684168954">
    <w:nsid w:val="646260FA"/>
    <w:multiLevelType w:val="multilevel"/>
    <w:tmpl w:val="646260FA"/>
    <w:lvl w:ilvl="0" w:tentative="1">
      <w:start w:val="1"/>
      <w:numFmt w:val="decimal"/>
      <w:pStyle w:val="126"/>
      <w:suff w:val="nothing"/>
      <w:lvlText w:val="表%1　"/>
      <w:lvlJc w:val="left"/>
      <w:pPr>
        <w:ind w:left="4537" w:firstLine="0"/>
      </w:pPr>
      <w:rPr>
        <w:rFonts w:hint="eastAsia" w:ascii="黑体" w:hAnsi="Times New Roman" w:eastAsia="黑体"/>
        <w:b w:val="0"/>
        <w:i w:val="0"/>
        <w:sz w:val="21"/>
      </w:rPr>
    </w:lvl>
    <w:lvl w:ilvl="1" w:tentative="1">
      <w:start w:val="1"/>
      <w:numFmt w:val="decimal"/>
      <w:lvlText w:val="%1.%2"/>
      <w:lvlJc w:val="left"/>
      <w:pPr>
        <w:tabs>
          <w:tab w:val="left" w:pos="992"/>
        </w:tabs>
        <w:ind w:left="992" w:hanging="567"/>
      </w:pPr>
      <w:rPr>
        <w:rFonts w:hint="eastAsia"/>
      </w:rPr>
    </w:lvl>
    <w:lvl w:ilvl="2" w:tentative="1">
      <w:start w:val="1"/>
      <w:numFmt w:val="decimal"/>
      <w:lvlText w:val="%1.%2.%3"/>
      <w:lvlJc w:val="left"/>
      <w:pPr>
        <w:tabs>
          <w:tab w:val="left" w:pos="1418"/>
        </w:tabs>
        <w:ind w:left="1418" w:hanging="567"/>
      </w:pPr>
      <w:rPr>
        <w:rFonts w:hint="eastAsia"/>
      </w:rPr>
    </w:lvl>
    <w:lvl w:ilvl="3" w:tentative="1">
      <w:start w:val="1"/>
      <w:numFmt w:val="decimal"/>
      <w:lvlText w:val="%1.%2.%3.%4"/>
      <w:lvlJc w:val="left"/>
      <w:pPr>
        <w:tabs>
          <w:tab w:val="left" w:pos="1984"/>
        </w:tabs>
        <w:ind w:left="1984" w:hanging="708"/>
      </w:pPr>
      <w:rPr>
        <w:rFonts w:hint="eastAsia"/>
      </w:rPr>
    </w:lvl>
    <w:lvl w:ilvl="4" w:tentative="1">
      <w:start w:val="1"/>
      <w:numFmt w:val="decimal"/>
      <w:lvlText w:val="%1.%2.%3.%4.%5"/>
      <w:lvlJc w:val="left"/>
      <w:pPr>
        <w:tabs>
          <w:tab w:val="left" w:pos="2551"/>
        </w:tabs>
        <w:ind w:left="2551" w:hanging="850"/>
      </w:pPr>
      <w:rPr>
        <w:rFonts w:hint="eastAsia"/>
      </w:rPr>
    </w:lvl>
    <w:lvl w:ilvl="5" w:tentative="1">
      <w:start w:val="1"/>
      <w:numFmt w:val="decimal"/>
      <w:lvlText w:val="%1.%2.%3.%4.%5.%6"/>
      <w:lvlJc w:val="left"/>
      <w:pPr>
        <w:tabs>
          <w:tab w:val="left" w:pos="3260"/>
        </w:tabs>
        <w:ind w:left="3260" w:hanging="1134"/>
      </w:pPr>
      <w:rPr>
        <w:rFonts w:hint="eastAsia"/>
      </w:rPr>
    </w:lvl>
    <w:lvl w:ilvl="6" w:tentative="1">
      <w:start w:val="1"/>
      <w:numFmt w:val="decimal"/>
      <w:lvlText w:val="%1.%2.%3.%4.%5.%6.%7"/>
      <w:lvlJc w:val="left"/>
      <w:pPr>
        <w:tabs>
          <w:tab w:val="left" w:pos="3827"/>
        </w:tabs>
        <w:ind w:left="3827" w:hanging="1276"/>
      </w:pPr>
      <w:rPr>
        <w:rFonts w:hint="eastAsia"/>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702707132">
    <w:nsid w:val="657D3FBC"/>
    <w:multiLevelType w:val="multilevel"/>
    <w:tmpl w:val="657D3FBC"/>
    <w:lvl w:ilvl="0" w:tentative="1">
      <w:start w:val="1"/>
      <w:numFmt w:val="upperLetter"/>
      <w:pStyle w:val="86"/>
      <w:suff w:val="nothing"/>
      <w:lvlText w:val="附　录　%1"/>
      <w:lvlJc w:val="left"/>
      <w:pPr>
        <w:ind w:left="4395" w:firstLine="0"/>
      </w:pPr>
      <w:rPr>
        <w:rFonts w:hint="eastAsia" w:ascii="黑体" w:hAnsi="Times New Roman" w:eastAsia="黑体"/>
        <w:b w:val="0"/>
        <w:i w:val="0"/>
        <w:color w:val="auto"/>
        <w:spacing w:val="0"/>
        <w:w w:val="100"/>
        <w:sz w:val="21"/>
      </w:rPr>
    </w:lvl>
    <w:lvl w:ilvl="1" w:tentative="1">
      <w:start w:val="1"/>
      <w:numFmt w:val="decimal"/>
      <w:pStyle w:val="103"/>
      <w:suff w:val="nothing"/>
      <w:lvlText w:val="%1.%2　"/>
      <w:lvlJc w:val="left"/>
      <w:pPr>
        <w:ind w:left="1135" w:firstLine="0"/>
      </w:pPr>
      <w:rPr>
        <w:rFonts w:hint="eastAsia" w:ascii="黑体" w:hAnsi="Times New Roman" w:eastAsia="黑体"/>
        <w:b w:val="0"/>
        <w:i w:val="0"/>
        <w:spacing w:val="0"/>
        <w:w w:val="100"/>
        <w:kern w:val="21"/>
        <w:sz w:val="21"/>
      </w:rPr>
    </w:lvl>
    <w:lvl w:ilvl="2" w:tentative="1">
      <w:start w:val="1"/>
      <w:numFmt w:val="decimal"/>
      <w:pStyle w:val="104"/>
      <w:suff w:val="nothing"/>
      <w:lvlText w:val="%1.%2.%3　"/>
      <w:lvlJc w:val="left"/>
      <w:pPr>
        <w:ind w:left="851" w:firstLine="0"/>
      </w:pPr>
      <w:rPr>
        <w:rFonts w:hint="eastAsia" w:ascii="黑体" w:hAnsi="Times New Roman" w:eastAsia="黑体"/>
        <w:b w:val="0"/>
        <w:i w:val="0"/>
        <w:sz w:val="21"/>
      </w:rPr>
    </w:lvl>
    <w:lvl w:ilvl="3" w:tentative="1">
      <w:start w:val="1"/>
      <w:numFmt w:val="decimal"/>
      <w:pStyle w:val="90"/>
      <w:suff w:val="nothing"/>
      <w:lvlText w:val="%1.%2.%3.%4　"/>
      <w:lvlJc w:val="left"/>
      <w:pPr>
        <w:ind w:left="0" w:firstLine="0"/>
      </w:pPr>
      <w:rPr>
        <w:rFonts w:hint="eastAsia" w:ascii="黑体" w:hAnsi="Times New Roman" w:eastAsia="黑体"/>
        <w:b w:val="0"/>
        <w:i w:val="0"/>
        <w:sz w:val="21"/>
      </w:rPr>
    </w:lvl>
    <w:lvl w:ilvl="4" w:tentative="1">
      <w:start w:val="1"/>
      <w:numFmt w:val="decimal"/>
      <w:pStyle w:val="94"/>
      <w:suff w:val="nothing"/>
      <w:lvlText w:val="%1.%2.%3.%4.%5　"/>
      <w:lvlJc w:val="left"/>
      <w:pPr>
        <w:ind w:left="0" w:firstLine="0"/>
      </w:pPr>
      <w:rPr>
        <w:rFonts w:hint="eastAsia" w:ascii="黑体" w:hAnsi="Times New Roman" w:eastAsia="黑体"/>
        <w:b w:val="0"/>
        <w:i w:val="0"/>
        <w:sz w:val="21"/>
      </w:rPr>
    </w:lvl>
    <w:lvl w:ilvl="5" w:tentative="1">
      <w:start w:val="1"/>
      <w:numFmt w:val="decimal"/>
      <w:pStyle w:val="97"/>
      <w:suff w:val="nothing"/>
      <w:lvlText w:val="%1.%2.%3.%4.%5.%6　"/>
      <w:lvlJc w:val="left"/>
      <w:pPr>
        <w:ind w:left="0" w:firstLine="0"/>
      </w:pPr>
      <w:rPr>
        <w:rFonts w:hint="eastAsia" w:ascii="黑体" w:hAnsi="Times New Roman" w:eastAsia="黑体"/>
        <w:b w:val="0"/>
        <w:i w:val="0"/>
        <w:sz w:val="21"/>
      </w:rPr>
    </w:lvl>
    <w:lvl w:ilvl="6" w:tentative="1">
      <w:start w:val="1"/>
      <w:numFmt w:val="decimal"/>
      <w:pStyle w:val="101"/>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835796429">
    <w:nsid w:val="6D6C07CD"/>
    <w:multiLevelType w:val="multilevel"/>
    <w:tmpl w:val="6D6C07CD"/>
    <w:lvl w:ilvl="0" w:tentative="1">
      <w:start w:val="1"/>
      <w:numFmt w:val="lowerLetter"/>
      <w:pStyle w:val="106"/>
      <w:lvlText w:val="%1)"/>
      <w:lvlJc w:val="left"/>
      <w:pPr>
        <w:tabs>
          <w:tab w:val="left" w:pos="839"/>
        </w:tabs>
        <w:ind w:left="839" w:hanging="419"/>
      </w:pPr>
      <w:rPr>
        <w:rFonts w:hint="eastAsia" w:ascii="宋体" w:eastAsia="宋体"/>
        <w:b w:val="0"/>
        <w:i w:val="0"/>
        <w:sz w:val="21"/>
      </w:rPr>
    </w:lvl>
    <w:lvl w:ilvl="1" w:tentative="1">
      <w:start w:val="1"/>
      <w:numFmt w:val="decimal"/>
      <w:pStyle w:val="96"/>
      <w:lvlText w:val="%2)"/>
      <w:lvlJc w:val="left"/>
      <w:pPr>
        <w:tabs>
          <w:tab w:val="left" w:pos="840"/>
        </w:tabs>
        <w:ind w:left="839" w:hanging="419"/>
      </w:pPr>
      <w:rPr>
        <w:rFonts w:hint="eastAsia" w:ascii="宋体" w:eastAsia="宋体"/>
        <w:b w:val="0"/>
        <w:i w:val="0"/>
        <w:sz w:val="21"/>
      </w:rPr>
    </w:lvl>
    <w:lvl w:ilvl="2" w:tentative="1">
      <w:start w:val="1"/>
      <w:numFmt w:val="lowerRoman"/>
      <w:lvlText w:val="%3."/>
      <w:lvlJc w:val="right"/>
      <w:pPr>
        <w:tabs>
          <w:tab w:val="left" w:pos="1260"/>
        </w:tabs>
        <w:ind w:left="1259" w:hanging="419"/>
      </w:pPr>
      <w:rPr>
        <w:rFonts w:hint="eastAsia"/>
      </w:rPr>
    </w:lvl>
    <w:lvl w:ilvl="3" w:tentative="1">
      <w:start w:val="1"/>
      <w:numFmt w:val="decimal"/>
      <w:lvlText w:val="%4."/>
      <w:lvlJc w:val="left"/>
      <w:pPr>
        <w:tabs>
          <w:tab w:val="left" w:pos="1680"/>
        </w:tabs>
        <w:ind w:left="1679" w:hanging="419"/>
      </w:pPr>
      <w:rPr>
        <w:rFonts w:hint="eastAsia"/>
      </w:rPr>
    </w:lvl>
    <w:lvl w:ilvl="4" w:tentative="1">
      <w:start w:val="1"/>
      <w:numFmt w:val="lowerLetter"/>
      <w:lvlText w:val="%5)"/>
      <w:lvlJc w:val="left"/>
      <w:pPr>
        <w:tabs>
          <w:tab w:val="left" w:pos="2100"/>
        </w:tabs>
        <w:ind w:left="2099" w:hanging="419"/>
      </w:pPr>
      <w:rPr>
        <w:rFonts w:hint="eastAsia"/>
      </w:rPr>
    </w:lvl>
    <w:lvl w:ilvl="5" w:tentative="1">
      <w:start w:val="1"/>
      <w:numFmt w:val="lowerRoman"/>
      <w:lvlText w:val="%6."/>
      <w:lvlJc w:val="right"/>
      <w:pPr>
        <w:tabs>
          <w:tab w:val="left" w:pos="2520"/>
        </w:tabs>
        <w:ind w:left="2519" w:hanging="419"/>
      </w:pPr>
      <w:rPr>
        <w:rFonts w:hint="eastAsia"/>
      </w:rPr>
    </w:lvl>
    <w:lvl w:ilvl="6" w:tentative="1">
      <w:start w:val="1"/>
      <w:numFmt w:val="decimal"/>
      <w:lvlText w:val="%7."/>
      <w:lvlJc w:val="left"/>
      <w:pPr>
        <w:tabs>
          <w:tab w:val="left" w:pos="2940"/>
        </w:tabs>
        <w:ind w:left="2939" w:hanging="419"/>
      </w:pPr>
      <w:rPr>
        <w:rFonts w:hint="eastAsia"/>
      </w:rPr>
    </w:lvl>
    <w:lvl w:ilvl="7" w:tentative="1">
      <w:start w:val="1"/>
      <w:numFmt w:val="lowerLetter"/>
      <w:lvlText w:val="%8)"/>
      <w:lvlJc w:val="left"/>
      <w:pPr>
        <w:tabs>
          <w:tab w:val="left" w:pos="3360"/>
        </w:tabs>
        <w:ind w:left="3359" w:hanging="419"/>
      </w:pPr>
      <w:rPr>
        <w:rFonts w:hint="eastAsia"/>
      </w:rPr>
    </w:lvl>
    <w:lvl w:ilvl="8" w:tentative="1">
      <w:start w:val="1"/>
      <w:numFmt w:val="lowerRoman"/>
      <w:lvlText w:val="%9."/>
      <w:lvlJc w:val="right"/>
      <w:pPr>
        <w:tabs>
          <w:tab w:val="left" w:pos="3780"/>
        </w:tabs>
        <w:ind w:left="3779" w:hanging="419"/>
      </w:pPr>
      <w:rPr>
        <w:rFonts w:hint="eastAsia"/>
      </w:rPr>
    </w:lvl>
  </w:abstractNum>
  <w:abstractNum w:abstractNumId="1841235188">
    <w:nsid w:val="6DBF04F4"/>
    <w:multiLevelType w:val="multilevel"/>
    <w:tmpl w:val="6DBF04F4"/>
    <w:lvl w:ilvl="0" w:tentative="1">
      <w:start w:val="1"/>
      <w:numFmt w:val="none"/>
      <w:pStyle w:val="60"/>
      <w:suff w:val="nothing"/>
      <w:lvlText w:val="%1注："/>
      <w:lvlJc w:val="left"/>
      <w:pPr>
        <w:ind w:left="726" w:hanging="363"/>
      </w:pPr>
      <w:rPr>
        <w:rFonts w:hint="eastAsia" w:ascii="黑体" w:hAnsi="Times New Roman" w:eastAsia="黑体"/>
        <w:b w:val="0"/>
        <w:i w:val="0"/>
        <w:sz w:val="18"/>
      </w:rPr>
    </w:lvl>
    <w:lvl w:ilvl="1" w:tentative="1">
      <w:start w:val="1"/>
      <w:numFmt w:val="lowerLetter"/>
      <w:lvlText w:val="%2)"/>
      <w:lvlJc w:val="left"/>
      <w:pPr>
        <w:tabs>
          <w:tab w:val="left" w:pos="1140"/>
        </w:tabs>
        <w:ind w:left="726" w:hanging="363"/>
      </w:pPr>
      <w:rPr>
        <w:rFonts w:hint="eastAsia"/>
      </w:rPr>
    </w:lvl>
    <w:lvl w:ilvl="2" w:tentative="1">
      <w:start w:val="1"/>
      <w:numFmt w:val="lowerRoman"/>
      <w:lvlText w:val="%3."/>
      <w:lvlJc w:val="right"/>
      <w:pPr>
        <w:tabs>
          <w:tab w:val="left" w:pos="1140"/>
        </w:tabs>
        <w:ind w:left="726" w:hanging="363"/>
      </w:pPr>
      <w:rPr>
        <w:rFonts w:hint="eastAsia"/>
      </w:rPr>
    </w:lvl>
    <w:lvl w:ilvl="3" w:tentative="1">
      <w:start w:val="1"/>
      <w:numFmt w:val="decimal"/>
      <w:lvlText w:val="%4."/>
      <w:lvlJc w:val="left"/>
      <w:pPr>
        <w:tabs>
          <w:tab w:val="left" w:pos="1140"/>
        </w:tabs>
        <w:ind w:left="726" w:hanging="363"/>
      </w:pPr>
      <w:rPr>
        <w:rFonts w:hint="eastAsia"/>
      </w:rPr>
    </w:lvl>
    <w:lvl w:ilvl="4" w:tentative="1">
      <w:start w:val="1"/>
      <w:numFmt w:val="lowerLetter"/>
      <w:lvlText w:val="%5)"/>
      <w:lvlJc w:val="left"/>
      <w:pPr>
        <w:tabs>
          <w:tab w:val="left" w:pos="1140"/>
        </w:tabs>
        <w:ind w:left="726" w:hanging="363"/>
      </w:pPr>
      <w:rPr>
        <w:rFonts w:hint="eastAsia"/>
      </w:rPr>
    </w:lvl>
    <w:lvl w:ilvl="5" w:tentative="1">
      <w:start w:val="1"/>
      <w:numFmt w:val="lowerRoman"/>
      <w:lvlText w:val="%6."/>
      <w:lvlJc w:val="right"/>
      <w:pPr>
        <w:tabs>
          <w:tab w:val="left" w:pos="1140"/>
        </w:tabs>
        <w:ind w:left="726" w:hanging="363"/>
      </w:pPr>
      <w:rPr>
        <w:rFonts w:hint="eastAsia"/>
      </w:rPr>
    </w:lvl>
    <w:lvl w:ilvl="6" w:tentative="1">
      <w:start w:val="1"/>
      <w:numFmt w:val="decimal"/>
      <w:lvlText w:val="%7."/>
      <w:lvlJc w:val="left"/>
      <w:pPr>
        <w:tabs>
          <w:tab w:val="left" w:pos="1140"/>
        </w:tabs>
        <w:ind w:left="726" w:hanging="363"/>
      </w:pPr>
      <w:rPr>
        <w:rFonts w:hint="eastAsia"/>
      </w:rPr>
    </w:lvl>
    <w:lvl w:ilvl="7" w:tentative="1">
      <w:start w:val="1"/>
      <w:numFmt w:val="lowerLetter"/>
      <w:lvlText w:val="%8)"/>
      <w:lvlJc w:val="left"/>
      <w:pPr>
        <w:tabs>
          <w:tab w:val="left" w:pos="1140"/>
        </w:tabs>
        <w:ind w:left="726" w:hanging="363"/>
      </w:pPr>
      <w:rPr>
        <w:rFonts w:hint="eastAsia"/>
      </w:rPr>
    </w:lvl>
    <w:lvl w:ilvl="8" w:tentative="1">
      <w:start w:val="1"/>
      <w:numFmt w:val="lowerRoman"/>
      <w:lvlText w:val="%9."/>
      <w:lvlJc w:val="right"/>
      <w:pPr>
        <w:tabs>
          <w:tab w:val="left" w:pos="1140"/>
        </w:tabs>
        <w:ind w:left="726" w:hanging="363"/>
      </w:pPr>
      <w:rPr>
        <w:rFonts w:hint="eastAsia"/>
      </w:rPr>
    </w:lvl>
  </w:abstractNum>
  <w:abstractNum w:abstractNumId="2080908364">
    <w:nsid w:val="7C08244C"/>
    <w:multiLevelType w:val="multilevel"/>
    <w:tmpl w:val="7C08244C"/>
    <w:lvl w:ilvl="0" w:tentative="1">
      <w:start w:val="1"/>
      <w:numFmt w:val="lowerLetter"/>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1030960664"/>
  </w:num>
  <w:num w:numId="2">
    <w:abstractNumId w:val="533270883"/>
  </w:num>
  <w:num w:numId="3">
    <w:abstractNumId w:val="744036291"/>
  </w:num>
  <w:num w:numId="4">
    <w:abstractNumId w:val="182675433"/>
  </w:num>
  <w:num w:numId="5">
    <w:abstractNumId w:val="1153765264"/>
  </w:num>
  <w:num w:numId="6">
    <w:abstractNumId w:val="1841235188"/>
  </w:num>
  <w:num w:numId="7">
    <w:abstractNumId w:val="126943917"/>
  </w:num>
  <w:num w:numId="8">
    <w:abstractNumId w:val="1265842783"/>
  </w:num>
  <w:num w:numId="9">
    <w:abstractNumId w:val="499079226"/>
  </w:num>
  <w:num w:numId="10">
    <w:abstractNumId w:val="1702707132"/>
  </w:num>
  <w:num w:numId="11">
    <w:abstractNumId w:val="1622498754"/>
  </w:num>
  <w:num w:numId="12">
    <w:abstractNumId w:val="1835796429"/>
  </w:num>
  <w:num w:numId="13">
    <w:abstractNumId w:val="714043667"/>
  </w:num>
  <w:num w:numId="14">
    <w:abstractNumId w:val="154953592"/>
  </w:num>
  <w:num w:numId="15">
    <w:abstractNumId w:val="232663878"/>
  </w:num>
  <w:num w:numId="16">
    <w:abstractNumId w:val="1684168954"/>
  </w:num>
  <w:num w:numId="17">
    <w:abstractNumId w:val="1434200821"/>
  </w:num>
  <w:num w:numId="18">
    <w:abstractNumId w:val="1089890136"/>
  </w:num>
  <w:num w:numId="19">
    <w:abstractNumId w:val="20809083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D0C14"/>
    <w:rsid w:val="00000201"/>
    <w:rsid w:val="00000244"/>
    <w:rsid w:val="0000185F"/>
    <w:rsid w:val="00003232"/>
    <w:rsid w:val="00004671"/>
    <w:rsid w:val="000048F7"/>
    <w:rsid w:val="0000549C"/>
    <w:rsid w:val="0000586F"/>
    <w:rsid w:val="00010998"/>
    <w:rsid w:val="0001109A"/>
    <w:rsid w:val="000113F6"/>
    <w:rsid w:val="00012244"/>
    <w:rsid w:val="00013D86"/>
    <w:rsid w:val="00013E02"/>
    <w:rsid w:val="0001517B"/>
    <w:rsid w:val="00016122"/>
    <w:rsid w:val="00017F92"/>
    <w:rsid w:val="0002143C"/>
    <w:rsid w:val="0002158E"/>
    <w:rsid w:val="00024685"/>
    <w:rsid w:val="000246F3"/>
    <w:rsid w:val="00024E7E"/>
    <w:rsid w:val="00025A65"/>
    <w:rsid w:val="00026C31"/>
    <w:rsid w:val="00027280"/>
    <w:rsid w:val="00030186"/>
    <w:rsid w:val="00030CAE"/>
    <w:rsid w:val="00030FA9"/>
    <w:rsid w:val="000316D4"/>
    <w:rsid w:val="00031A63"/>
    <w:rsid w:val="000320A7"/>
    <w:rsid w:val="000323A9"/>
    <w:rsid w:val="00033F77"/>
    <w:rsid w:val="00034616"/>
    <w:rsid w:val="00035851"/>
    <w:rsid w:val="00035925"/>
    <w:rsid w:val="000376E6"/>
    <w:rsid w:val="00040643"/>
    <w:rsid w:val="00043933"/>
    <w:rsid w:val="00044829"/>
    <w:rsid w:val="00044B04"/>
    <w:rsid w:val="000467F1"/>
    <w:rsid w:val="00046E00"/>
    <w:rsid w:val="000472BC"/>
    <w:rsid w:val="00057F8E"/>
    <w:rsid w:val="00060CD3"/>
    <w:rsid w:val="000611EA"/>
    <w:rsid w:val="000614CF"/>
    <w:rsid w:val="00064A23"/>
    <w:rsid w:val="00064E31"/>
    <w:rsid w:val="00064E61"/>
    <w:rsid w:val="00066D29"/>
    <w:rsid w:val="00067CDF"/>
    <w:rsid w:val="00070073"/>
    <w:rsid w:val="0007031A"/>
    <w:rsid w:val="0007310A"/>
    <w:rsid w:val="000739E4"/>
    <w:rsid w:val="00074FBE"/>
    <w:rsid w:val="00081A7F"/>
    <w:rsid w:val="0008224D"/>
    <w:rsid w:val="00083A09"/>
    <w:rsid w:val="00084A14"/>
    <w:rsid w:val="000854C7"/>
    <w:rsid w:val="00085981"/>
    <w:rsid w:val="0009005E"/>
    <w:rsid w:val="000913F2"/>
    <w:rsid w:val="0009159A"/>
    <w:rsid w:val="000919F4"/>
    <w:rsid w:val="000926ED"/>
    <w:rsid w:val="00092857"/>
    <w:rsid w:val="00092FFA"/>
    <w:rsid w:val="000933F7"/>
    <w:rsid w:val="00093D2C"/>
    <w:rsid w:val="000950D8"/>
    <w:rsid w:val="0009511C"/>
    <w:rsid w:val="00095502"/>
    <w:rsid w:val="00096424"/>
    <w:rsid w:val="000978FB"/>
    <w:rsid w:val="000A1795"/>
    <w:rsid w:val="000A20A9"/>
    <w:rsid w:val="000A24A4"/>
    <w:rsid w:val="000A3660"/>
    <w:rsid w:val="000A41B3"/>
    <w:rsid w:val="000A48B1"/>
    <w:rsid w:val="000B0B40"/>
    <w:rsid w:val="000B0D5A"/>
    <w:rsid w:val="000B3143"/>
    <w:rsid w:val="000B38CA"/>
    <w:rsid w:val="000B71AF"/>
    <w:rsid w:val="000B7956"/>
    <w:rsid w:val="000C2D1F"/>
    <w:rsid w:val="000C5089"/>
    <w:rsid w:val="000C69E9"/>
    <w:rsid w:val="000C6B05"/>
    <w:rsid w:val="000C6DD6"/>
    <w:rsid w:val="000C73D4"/>
    <w:rsid w:val="000D24B8"/>
    <w:rsid w:val="000D372A"/>
    <w:rsid w:val="000D3970"/>
    <w:rsid w:val="000D3D4C"/>
    <w:rsid w:val="000D4439"/>
    <w:rsid w:val="000D4E27"/>
    <w:rsid w:val="000D4F51"/>
    <w:rsid w:val="000D5574"/>
    <w:rsid w:val="000D718B"/>
    <w:rsid w:val="000D748C"/>
    <w:rsid w:val="000D7C58"/>
    <w:rsid w:val="000E0C46"/>
    <w:rsid w:val="000E294D"/>
    <w:rsid w:val="000E34D3"/>
    <w:rsid w:val="000E39C1"/>
    <w:rsid w:val="000E541B"/>
    <w:rsid w:val="000E5429"/>
    <w:rsid w:val="000F030C"/>
    <w:rsid w:val="000F129C"/>
    <w:rsid w:val="000F28C1"/>
    <w:rsid w:val="000F39A1"/>
    <w:rsid w:val="000F5655"/>
    <w:rsid w:val="00100B93"/>
    <w:rsid w:val="00101CDC"/>
    <w:rsid w:val="001038D3"/>
    <w:rsid w:val="0010397E"/>
    <w:rsid w:val="001043BD"/>
    <w:rsid w:val="001056DE"/>
    <w:rsid w:val="00105735"/>
    <w:rsid w:val="00107E0D"/>
    <w:rsid w:val="0011154E"/>
    <w:rsid w:val="00111A2E"/>
    <w:rsid w:val="001124C0"/>
    <w:rsid w:val="00112CE9"/>
    <w:rsid w:val="001130E7"/>
    <w:rsid w:val="00113113"/>
    <w:rsid w:val="00122FE2"/>
    <w:rsid w:val="00123EDA"/>
    <w:rsid w:val="001246E6"/>
    <w:rsid w:val="001251FA"/>
    <w:rsid w:val="001257F0"/>
    <w:rsid w:val="00125AE8"/>
    <w:rsid w:val="00127E0B"/>
    <w:rsid w:val="001301F8"/>
    <w:rsid w:val="0013175F"/>
    <w:rsid w:val="00132761"/>
    <w:rsid w:val="00133617"/>
    <w:rsid w:val="00133DF5"/>
    <w:rsid w:val="001341A6"/>
    <w:rsid w:val="00135C04"/>
    <w:rsid w:val="001363B9"/>
    <w:rsid w:val="00136452"/>
    <w:rsid w:val="00137B46"/>
    <w:rsid w:val="001404B1"/>
    <w:rsid w:val="00140ED7"/>
    <w:rsid w:val="00143357"/>
    <w:rsid w:val="0014385E"/>
    <w:rsid w:val="0015034A"/>
    <w:rsid w:val="0015087D"/>
    <w:rsid w:val="001512B4"/>
    <w:rsid w:val="001535E7"/>
    <w:rsid w:val="0015435B"/>
    <w:rsid w:val="00154A88"/>
    <w:rsid w:val="00155FEC"/>
    <w:rsid w:val="001620A5"/>
    <w:rsid w:val="00162D7C"/>
    <w:rsid w:val="00162E7A"/>
    <w:rsid w:val="0016367C"/>
    <w:rsid w:val="001636FE"/>
    <w:rsid w:val="00164E53"/>
    <w:rsid w:val="0016699D"/>
    <w:rsid w:val="00175159"/>
    <w:rsid w:val="00175441"/>
    <w:rsid w:val="00176208"/>
    <w:rsid w:val="00176B84"/>
    <w:rsid w:val="00181E72"/>
    <w:rsid w:val="0018211B"/>
    <w:rsid w:val="001829DB"/>
    <w:rsid w:val="001840D3"/>
    <w:rsid w:val="0018687A"/>
    <w:rsid w:val="001900F8"/>
    <w:rsid w:val="00190840"/>
    <w:rsid w:val="00191258"/>
    <w:rsid w:val="00191F3F"/>
    <w:rsid w:val="00192680"/>
    <w:rsid w:val="0019295B"/>
    <w:rsid w:val="00193037"/>
    <w:rsid w:val="00193A2C"/>
    <w:rsid w:val="001975B4"/>
    <w:rsid w:val="001A07D8"/>
    <w:rsid w:val="001A0FFD"/>
    <w:rsid w:val="001A288E"/>
    <w:rsid w:val="001A3A35"/>
    <w:rsid w:val="001A4882"/>
    <w:rsid w:val="001A721B"/>
    <w:rsid w:val="001A7A0E"/>
    <w:rsid w:val="001B1058"/>
    <w:rsid w:val="001B12F2"/>
    <w:rsid w:val="001B6DC2"/>
    <w:rsid w:val="001C149C"/>
    <w:rsid w:val="001C21AC"/>
    <w:rsid w:val="001C26AB"/>
    <w:rsid w:val="001C35B6"/>
    <w:rsid w:val="001C4194"/>
    <w:rsid w:val="001C47BA"/>
    <w:rsid w:val="001C59EA"/>
    <w:rsid w:val="001C5BC0"/>
    <w:rsid w:val="001C6B7E"/>
    <w:rsid w:val="001D0DB2"/>
    <w:rsid w:val="001D1C9B"/>
    <w:rsid w:val="001D2792"/>
    <w:rsid w:val="001D2D9B"/>
    <w:rsid w:val="001D2E15"/>
    <w:rsid w:val="001D406C"/>
    <w:rsid w:val="001D41EE"/>
    <w:rsid w:val="001D51CC"/>
    <w:rsid w:val="001D7011"/>
    <w:rsid w:val="001E0380"/>
    <w:rsid w:val="001E13B1"/>
    <w:rsid w:val="001E1C2E"/>
    <w:rsid w:val="001E2D27"/>
    <w:rsid w:val="001E5E75"/>
    <w:rsid w:val="001E6081"/>
    <w:rsid w:val="001E6112"/>
    <w:rsid w:val="001E7A6C"/>
    <w:rsid w:val="001F32F2"/>
    <w:rsid w:val="001F3A19"/>
    <w:rsid w:val="001F4865"/>
    <w:rsid w:val="001F68C4"/>
    <w:rsid w:val="00200257"/>
    <w:rsid w:val="0020168D"/>
    <w:rsid w:val="00203D76"/>
    <w:rsid w:val="00204E61"/>
    <w:rsid w:val="00204F90"/>
    <w:rsid w:val="00207200"/>
    <w:rsid w:val="00207460"/>
    <w:rsid w:val="00207EBE"/>
    <w:rsid w:val="00210317"/>
    <w:rsid w:val="002105DC"/>
    <w:rsid w:val="00212C4C"/>
    <w:rsid w:val="002131DC"/>
    <w:rsid w:val="00216CE3"/>
    <w:rsid w:val="00217BCD"/>
    <w:rsid w:val="00222C15"/>
    <w:rsid w:val="002232CD"/>
    <w:rsid w:val="00226162"/>
    <w:rsid w:val="0023079A"/>
    <w:rsid w:val="00233476"/>
    <w:rsid w:val="00234467"/>
    <w:rsid w:val="00236CCA"/>
    <w:rsid w:val="00237D8D"/>
    <w:rsid w:val="002408F1"/>
    <w:rsid w:val="00240D28"/>
    <w:rsid w:val="0024121A"/>
    <w:rsid w:val="00241DA2"/>
    <w:rsid w:val="00243857"/>
    <w:rsid w:val="0024672E"/>
    <w:rsid w:val="00247FEE"/>
    <w:rsid w:val="00250E7D"/>
    <w:rsid w:val="002532A3"/>
    <w:rsid w:val="002536FA"/>
    <w:rsid w:val="002565D5"/>
    <w:rsid w:val="00260532"/>
    <w:rsid w:val="002622C0"/>
    <w:rsid w:val="0026320E"/>
    <w:rsid w:val="0026360D"/>
    <w:rsid w:val="00263791"/>
    <w:rsid w:val="00263E7B"/>
    <w:rsid w:val="00270AA6"/>
    <w:rsid w:val="00270B44"/>
    <w:rsid w:val="00272152"/>
    <w:rsid w:val="00273B83"/>
    <w:rsid w:val="0027637D"/>
    <w:rsid w:val="002778AE"/>
    <w:rsid w:val="00280641"/>
    <w:rsid w:val="00280660"/>
    <w:rsid w:val="00281A54"/>
    <w:rsid w:val="00281E00"/>
    <w:rsid w:val="0028269A"/>
    <w:rsid w:val="00283590"/>
    <w:rsid w:val="00286973"/>
    <w:rsid w:val="0029150E"/>
    <w:rsid w:val="00293C46"/>
    <w:rsid w:val="0029406D"/>
    <w:rsid w:val="00294E70"/>
    <w:rsid w:val="00296168"/>
    <w:rsid w:val="002973D4"/>
    <w:rsid w:val="002A1924"/>
    <w:rsid w:val="002A44A7"/>
    <w:rsid w:val="002A66F1"/>
    <w:rsid w:val="002A6761"/>
    <w:rsid w:val="002A6863"/>
    <w:rsid w:val="002A7420"/>
    <w:rsid w:val="002A7970"/>
    <w:rsid w:val="002A7F89"/>
    <w:rsid w:val="002B0F12"/>
    <w:rsid w:val="002B1308"/>
    <w:rsid w:val="002B1438"/>
    <w:rsid w:val="002B24D2"/>
    <w:rsid w:val="002B2552"/>
    <w:rsid w:val="002B3052"/>
    <w:rsid w:val="002B389E"/>
    <w:rsid w:val="002B4554"/>
    <w:rsid w:val="002B728B"/>
    <w:rsid w:val="002C093E"/>
    <w:rsid w:val="002C2AA3"/>
    <w:rsid w:val="002C39A4"/>
    <w:rsid w:val="002C5EBB"/>
    <w:rsid w:val="002C72D8"/>
    <w:rsid w:val="002D01E4"/>
    <w:rsid w:val="002D11FA"/>
    <w:rsid w:val="002D5483"/>
    <w:rsid w:val="002D64D3"/>
    <w:rsid w:val="002E0DDF"/>
    <w:rsid w:val="002E1B29"/>
    <w:rsid w:val="002E1DC2"/>
    <w:rsid w:val="002E2906"/>
    <w:rsid w:val="002E321A"/>
    <w:rsid w:val="002E3823"/>
    <w:rsid w:val="002E4547"/>
    <w:rsid w:val="002E4F74"/>
    <w:rsid w:val="002E562D"/>
    <w:rsid w:val="002E5635"/>
    <w:rsid w:val="002E563B"/>
    <w:rsid w:val="002E5CDA"/>
    <w:rsid w:val="002E5FAA"/>
    <w:rsid w:val="002E64C3"/>
    <w:rsid w:val="002E6A2C"/>
    <w:rsid w:val="002F1D8C"/>
    <w:rsid w:val="002F2086"/>
    <w:rsid w:val="002F21DA"/>
    <w:rsid w:val="002F43A2"/>
    <w:rsid w:val="002F75CA"/>
    <w:rsid w:val="0030065A"/>
    <w:rsid w:val="00300A01"/>
    <w:rsid w:val="00301F39"/>
    <w:rsid w:val="0030249C"/>
    <w:rsid w:val="0030401B"/>
    <w:rsid w:val="003064FB"/>
    <w:rsid w:val="00310002"/>
    <w:rsid w:val="003201B9"/>
    <w:rsid w:val="003228E3"/>
    <w:rsid w:val="003231A6"/>
    <w:rsid w:val="00324756"/>
    <w:rsid w:val="00325926"/>
    <w:rsid w:val="00326143"/>
    <w:rsid w:val="00327A8A"/>
    <w:rsid w:val="003301C9"/>
    <w:rsid w:val="003310C3"/>
    <w:rsid w:val="0033116F"/>
    <w:rsid w:val="003313C9"/>
    <w:rsid w:val="0033148B"/>
    <w:rsid w:val="003314C7"/>
    <w:rsid w:val="0033421B"/>
    <w:rsid w:val="00335785"/>
    <w:rsid w:val="00336610"/>
    <w:rsid w:val="00336D06"/>
    <w:rsid w:val="00341AC8"/>
    <w:rsid w:val="00342643"/>
    <w:rsid w:val="00343845"/>
    <w:rsid w:val="00343F73"/>
    <w:rsid w:val="00345060"/>
    <w:rsid w:val="00346091"/>
    <w:rsid w:val="003474E5"/>
    <w:rsid w:val="003516E2"/>
    <w:rsid w:val="00351CA0"/>
    <w:rsid w:val="003521AF"/>
    <w:rsid w:val="0035323B"/>
    <w:rsid w:val="00353C91"/>
    <w:rsid w:val="00360399"/>
    <w:rsid w:val="003609D2"/>
    <w:rsid w:val="00360CA9"/>
    <w:rsid w:val="00362567"/>
    <w:rsid w:val="00363249"/>
    <w:rsid w:val="00363F22"/>
    <w:rsid w:val="00364DF9"/>
    <w:rsid w:val="00365198"/>
    <w:rsid w:val="003726C7"/>
    <w:rsid w:val="003732CC"/>
    <w:rsid w:val="00374AFE"/>
    <w:rsid w:val="00375564"/>
    <w:rsid w:val="0037586B"/>
    <w:rsid w:val="003759EE"/>
    <w:rsid w:val="00376646"/>
    <w:rsid w:val="00380303"/>
    <w:rsid w:val="00380CCD"/>
    <w:rsid w:val="003822D6"/>
    <w:rsid w:val="00383191"/>
    <w:rsid w:val="00384A92"/>
    <w:rsid w:val="00385CA1"/>
    <w:rsid w:val="00386803"/>
    <w:rsid w:val="00386DED"/>
    <w:rsid w:val="003873AC"/>
    <w:rsid w:val="00387A65"/>
    <w:rsid w:val="00387A84"/>
    <w:rsid w:val="003912E7"/>
    <w:rsid w:val="00392D19"/>
    <w:rsid w:val="00392F24"/>
    <w:rsid w:val="00393947"/>
    <w:rsid w:val="00393CDE"/>
    <w:rsid w:val="00396E52"/>
    <w:rsid w:val="00397D92"/>
    <w:rsid w:val="003A1CF8"/>
    <w:rsid w:val="003A2275"/>
    <w:rsid w:val="003A2BB1"/>
    <w:rsid w:val="003A2D63"/>
    <w:rsid w:val="003A3FF9"/>
    <w:rsid w:val="003A67E1"/>
    <w:rsid w:val="003A6A4F"/>
    <w:rsid w:val="003A7088"/>
    <w:rsid w:val="003B00DF"/>
    <w:rsid w:val="003B037D"/>
    <w:rsid w:val="003B1275"/>
    <w:rsid w:val="003B1778"/>
    <w:rsid w:val="003B3C74"/>
    <w:rsid w:val="003B4E1E"/>
    <w:rsid w:val="003B60FF"/>
    <w:rsid w:val="003B709D"/>
    <w:rsid w:val="003C00CA"/>
    <w:rsid w:val="003C0627"/>
    <w:rsid w:val="003C07D4"/>
    <w:rsid w:val="003C0B32"/>
    <w:rsid w:val="003C11CB"/>
    <w:rsid w:val="003C1A87"/>
    <w:rsid w:val="003C1BA0"/>
    <w:rsid w:val="003C3619"/>
    <w:rsid w:val="003C3E55"/>
    <w:rsid w:val="003C720E"/>
    <w:rsid w:val="003C75F3"/>
    <w:rsid w:val="003C78A3"/>
    <w:rsid w:val="003D02B4"/>
    <w:rsid w:val="003D0FF8"/>
    <w:rsid w:val="003D2CB4"/>
    <w:rsid w:val="003D3C0A"/>
    <w:rsid w:val="003D41DA"/>
    <w:rsid w:val="003D5DAC"/>
    <w:rsid w:val="003D60D9"/>
    <w:rsid w:val="003D6AFC"/>
    <w:rsid w:val="003D78E6"/>
    <w:rsid w:val="003E1867"/>
    <w:rsid w:val="003E3FD4"/>
    <w:rsid w:val="003E4076"/>
    <w:rsid w:val="003E5729"/>
    <w:rsid w:val="003E62A9"/>
    <w:rsid w:val="003F2C5D"/>
    <w:rsid w:val="003F303D"/>
    <w:rsid w:val="003F4EE0"/>
    <w:rsid w:val="003F509A"/>
    <w:rsid w:val="004017E3"/>
    <w:rsid w:val="00401BDC"/>
    <w:rsid w:val="00402153"/>
    <w:rsid w:val="00402FC1"/>
    <w:rsid w:val="0040353A"/>
    <w:rsid w:val="004047E6"/>
    <w:rsid w:val="00407C22"/>
    <w:rsid w:val="00412FBD"/>
    <w:rsid w:val="00413A12"/>
    <w:rsid w:val="00413D7A"/>
    <w:rsid w:val="004141F1"/>
    <w:rsid w:val="00414277"/>
    <w:rsid w:val="00417B56"/>
    <w:rsid w:val="00420395"/>
    <w:rsid w:val="0042094A"/>
    <w:rsid w:val="004219C3"/>
    <w:rsid w:val="004221A3"/>
    <w:rsid w:val="00425082"/>
    <w:rsid w:val="00426475"/>
    <w:rsid w:val="00430525"/>
    <w:rsid w:val="00430A85"/>
    <w:rsid w:val="00431DEB"/>
    <w:rsid w:val="00436418"/>
    <w:rsid w:val="00441C88"/>
    <w:rsid w:val="004452BB"/>
    <w:rsid w:val="004465E3"/>
    <w:rsid w:val="00446B29"/>
    <w:rsid w:val="00446D7C"/>
    <w:rsid w:val="004506B8"/>
    <w:rsid w:val="00452831"/>
    <w:rsid w:val="00453F9A"/>
    <w:rsid w:val="00457338"/>
    <w:rsid w:val="004617D6"/>
    <w:rsid w:val="00461DB0"/>
    <w:rsid w:val="004661CB"/>
    <w:rsid w:val="004700D6"/>
    <w:rsid w:val="00471E6B"/>
    <w:rsid w:val="00471E91"/>
    <w:rsid w:val="00472102"/>
    <w:rsid w:val="00472C03"/>
    <w:rsid w:val="00473BBF"/>
    <w:rsid w:val="00474675"/>
    <w:rsid w:val="0047470C"/>
    <w:rsid w:val="0048142F"/>
    <w:rsid w:val="0048324E"/>
    <w:rsid w:val="00483BFE"/>
    <w:rsid w:val="004840F0"/>
    <w:rsid w:val="00484CA4"/>
    <w:rsid w:val="0049038D"/>
    <w:rsid w:val="00492BB7"/>
    <w:rsid w:val="00494306"/>
    <w:rsid w:val="004A01D1"/>
    <w:rsid w:val="004A35F9"/>
    <w:rsid w:val="004A5357"/>
    <w:rsid w:val="004A777D"/>
    <w:rsid w:val="004B1F58"/>
    <w:rsid w:val="004B24C1"/>
    <w:rsid w:val="004B41C6"/>
    <w:rsid w:val="004B5516"/>
    <w:rsid w:val="004B575B"/>
    <w:rsid w:val="004B763B"/>
    <w:rsid w:val="004B781E"/>
    <w:rsid w:val="004C092C"/>
    <w:rsid w:val="004C292F"/>
    <w:rsid w:val="004C4DA9"/>
    <w:rsid w:val="004C5957"/>
    <w:rsid w:val="004C5AE7"/>
    <w:rsid w:val="004C5E64"/>
    <w:rsid w:val="004C7E22"/>
    <w:rsid w:val="004D04FE"/>
    <w:rsid w:val="004D0C14"/>
    <w:rsid w:val="004D29CD"/>
    <w:rsid w:val="004D2B73"/>
    <w:rsid w:val="004D2BD7"/>
    <w:rsid w:val="004D35D5"/>
    <w:rsid w:val="004D3F5D"/>
    <w:rsid w:val="004D513A"/>
    <w:rsid w:val="004D572C"/>
    <w:rsid w:val="004D6644"/>
    <w:rsid w:val="004E15C5"/>
    <w:rsid w:val="004E5859"/>
    <w:rsid w:val="004E7978"/>
    <w:rsid w:val="004F0781"/>
    <w:rsid w:val="004F38C4"/>
    <w:rsid w:val="004F432C"/>
    <w:rsid w:val="005002A6"/>
    <w:rsid w:val="005034DF"/>
    <w:rsid w:val="00504A40"/>
    <w:rsid w:val="00510280"/>
    <w:rsid w:val="00510807"/>
    <w:rsid w:val="0051114D"/>
    <w:rsid w:val="005127F9"/>
    <w:rsid w:val="00513D73"/>
    <w:rsid w:val="00514A43"/>
    <w:rsid w:val="00515743"/>
    <w:rsid w:val="005174E5"/>
    <w:rsid w:val="00520C03"/>
    <w:rsid w:val="0052172B"/>
    <w:rsid w:val="00522266"/>
    <w:rsid w:val="00522393"/>
    <w:rsid w:val="00522620"/>
    <w:rsid w:val="00522772"/>
    <w:rsid w:val="0052377C"/>
    <w:rsid w:val="00523807"/>
    <w:rsid w:val="00525656"/>
    <w:rsid w:val="00526A56"/>
    <w:rsid w:val="00530044"/>
    <w:rsid w:val="00531910"/>
    <w:rsid w:val="00531B08"/>
    <w:rsid w:val="00534C02"/>
    <w:rsid w:val="00535D1D"/>
    <w:rsid w:val="005371A0"/>
    <w:rsid w:val="00541BB2"/>
    <w:rsid w:val="0054264B"/>
    <w:rsid w:val="00543786"/>
    <w:rsid w:val="005443FB"/>
    <w:rsid w:val="005462EF"/>
    <w:rsid w:val="005509EC"/>
    <w:rsid w:val="005518BE"/>
    <w:rsid w:val="00551EF1"/>
    <w:rsid w:val="00552434"/>
    <w:rsid w:val="00552BFB"/>
    <w:rsid w:val="005533D7"/>
    <w:rsid w:val="005542F7"/>
    <w:rsid w:val="005543E7"/>
    <w:rsid w:val="00554CB1"/>
    <w:rsid w:val="00555581"/>
    <w:rsid w:val="00555B88"/>
    <w:rsid w:val="00560C5B"/>
    <w:rsid w:val="005617AA"/>
    <w:rsid w:val="00561D45"/>
    <w:rsid w:val="00561F42"/>
    <w:rsid w:val="00563E6C"/>
    <w:rsid w:val="00566B0D"/>
    <w:rsid w:val="005703DE"/>
    <w:rsid w:val="00571FFC"/>
    <w:rsid w:val="005725DB"/>
    <w:rsid w:val="00573AD7"/>
    <w:rsid w:val="00573BCF"/>
    <w:rsid w:val="00575E63"/>
    <w:rsid w:val="00576BE0"/>
    <w:rsid w:val="00577547"/>
    <w:rsid w:val="00580B30"/>
    <w:rsid w:val="0058312B"/>
    <w:rsid w:val="00583306"/>
    <w:rsid w:val="0058464E"/>
    <w:rsid w:val="00585BFB"/>
    <w:rsid w:val="005867E7"/>
    <w:rsid w:val="005873DE"/>
    <w:rsid w:val="0059012A"/>
    <w:rsid w:val="00590EAC"/>
    <w:rsid w:val="00591E37"/>
    <w:rsid w:val="00592B9E"/>
    <w:rsid w:val="00594665"/>
    <w:rsid w:val="005A01CB"/>
    <w:rsid w:val="005A0767"/>
    <w:rsid w:val="005A2105"/>
    <w:rsid w:val="005A30F7"/>
    <w:rsid w:val="005A3201"/>
    <w:rsid w:val="005A49CA"/>
    <w:rsid w:val="005A58FF"/>
    <w:rsid w:val="005A5EAF"/>
    <w:rsid w:val="005A64C0"/>
    <w:rsid w:val="005A6B5C"/>
    <w:rsid w:val="005B20CC"/>
    <w:rsid w:val="005B3C11"/>
    <w:rsid w:val="005B4B4F"/>
    <w:rsid w:val="005B788D"/>
    <w:rsid w:val="005C1C28"/>
    <w:rsid w:val="005C4E0D"/>
    <w:rsid w:val="005C595A"/>
    <w:rsid w:val="005C6DB5"/>
    <w:rsid w:val="005C7C99"/>
    <w:rsid w:val="005D0810"/>
    <w:rsid w:val="005D0BC5"/>
    <w:rsid w:val="005D2557"/>
    <w:rsid w:val="005D35C8"/>
    <w:rsid w:val="005E19E7"/>
    <w:rsid w:val="005E1F06"/>
    <w:rsid w:val="005E4B5D"/>
    <w:rsid w:val="005E4E71"/>
    <w:rsid w:val="005E6759"/>
    <w:rsid w:val="005E67E4"/>
    <w:rsid w:val="005E6F35"/>
    <w:rsid w:val="005F0042"/>
    <w:rsid w:val="005F10EF"/>
    <w:rsid w:val="005F3ACA"/>
    <w:rsid w:val="00600980"/>
    <w:rsid w:val="006024F2"/>
    <w:rsid w:val="00605E5D"/>
    <w:rsid w:val="0060618A"/>
    <w:rsid w:val="006109F6"/>
    <w:rsid w:val="006110BD"/>
    <w:rsid w:val="006111CB"/>
    <w:rsid w:val="0061423B"/>
    <w:rsid w:val="0061492C"/>
    <w:rsid w:val="0061535F"/>
    <w:rsid w:val="0061716C"/>
    <w:rsid w:val="0062087B"/>
    <w:rsid w:val="0062190E"/>
    <w:rsid w:val="00623413"/>
    <w:rsid w:val="0062347F"/>
    <w:rsid w:val="00623839"/>
    <w:rsid w:val="006243A1"/>
    <w:rsid w:val="0062506C"/>
    <w:rsid w:val="00626AE1"/>
    <w:rsid w:val="00627201"/>
    <w:rsid w:val="00627841"/>
    <w:rsid w:val="006310E1"/>
    <w:rsid w:val="00632452"/>
    <w:rsid w:val="00632E56"/>
    <w:rsid w:val="00633C4E"/>
    <w:rsid w:val="006343A5"/>
    <w:rsid w:val="00635096"/>
    <w:rsid w:val="006351B2"/>
    <w:rsid w:val="00635CBA"/>
    <w:rsid w:val="006422E6"/>
    <w:rsid w:val="0064338B"/>
    <w:rsid w:val="00645275"/>
    <w:rsid w:val="00646473"/>
    <w:rsid w:val="00646542"/>
    <w:rsid w:val="006467FB"/>
    <w:rsid w:val="00646C25"/>
    <w:rsid w:val="006504F4"/>
    <w:rsid w:val="00651053"/>
    <w:rsid w:val="00654BC9"/>
    <w:rsid w:val="006552FD"/>
    <w:rsid w:val="00656125"/>
    <w:rsid w:val="00663AF3"/>
    <w:rsid w:val="00663EB1"/>
    <w:rsid w:val="00664787"/>
    <w:rsid w:val="00665FB1"/>
    <w:rsid w:val="00666B6C"/>
    <w:rsid w:val="006675EB"/>
    <w:rsid w:val="0067020A"/>
    <w:rsid w:val="00671DCA"/>
    <w:rsid w:val="006724B0"/>
    <w:rsid w:val="00672740"/>
    <w:rsid w:val="00673E41"/>
    <w:rsid w:val="00675693"/>
    <w:rsid w:val="006763CC"/>
    <w:rsid w:val="00676CCE"/>
    <w:rsid w:val="0068164D"/>
    <w:rsid w:val="00682682"/>
    <w:rsid w:val="00682702"/>
    <w:rsid w:val="00684261"/>
    <w:rsid w:val="00684875"/>
    <w:rsid w:val="00685D8D"/>
    <w:rsid w:val="0068753E"/>
    <w:rsid w:val="0069218B"/>
    <w:rsid w:val="00692368"/>
    <w:rsid w:val="00694647"/>
    <w:rsid w:val="00695E2E"/>
    <w:rsid w:val="00696C95"/>
    <w:rsid w:val="006A1379"/>
    <w:rsid w:val="006A1948"/>
    <w:rsid w:val="006A2842"/>
    <w:rsid w:val="006A2EBC"/>
    <w:rsid w:val="006A555F"/>
    <w:rsid w:val="006A5EA0"/>
    <w:rsid w:val="006A6E75"/>
    <w:rsid w:val="006A783B"/>
    <w:rsid w:val="006A7B33"/>
    <w:rsid w:val="006A7F04"/>
    <w:rsid w:val="006A7FEB"/>
    <w:rsid w:val="006B17E3"/>
    <w:rsid w:val="006B4E13"/>
    <w:rsid w:val="006B750E"/>
    <w:rsid w:val="006B75DD"/>
    <w:rsid w:val="006B7A6D"/>
    <w:rsid w:val="006C260E"/>
    <w:rsid w:val="006C2DE1"/>
    <w:rsid w:val="006C415C"/>
    <w:rsid w:val="006C49BF"/>
    <w:rsid w:val="006C67E0"/>
    <w:rsid w:val="006C7ABA"/>
    <w:rsid w:val="006D0D60"/>
    <w:rsid w:val="006D1122"/>
    <w:rsid w:val="006D199C"/>
    <w:rsid w:val="006D1F32"/>
    <w:rsid w:val="006D3C00"/>
    <w:rsid w:val="006D4764"/>
    <w:rsid w:val="006D5391"/>
    <w:rsid w:val="006D6F38"/>
    <w:rsid w:val="006D7792"/>
    <w:rsid w:val="006E10A7"/>
    <w:rsid w:val="006E13F3"/>
    <w:rsid w:val="006E2737"/>
    <w:rsid w:val="006E2A76"/>
    <w:rsid w:val="006E3675"/>
    <w:rsid w:val="006E4A7F"/>
    <w:rsid w:val="006E684D"/>
    <w:rsid w:val="006E7B84"/>
    <w:rsid w:val="006F0F1D"/>
    <w:rsid w:val="006F19C8"/>
    <w:rsid w:val="006F206A"/>
    <w:rsid w:val="006F216C"/>
    <w:rsid w:val="006F2D67"/>
    <w:rsid w:val="006F378B"/>
    <w:rsid w:val="006F3914"/>
    <w:rsid w:val="006F4EF5"/>
    <w:rsid w:val="006F59C4"/>
    <w:rsid w:val="006F68F4"/>
    <w:rsid w:val="00701493"/>
    <w:rsid w:val="0070262E"/>
    <w:rsid w:val="00702C3D"/>
    <w:rsid w:val="0070438B"/>
    <w:rsid w:val="00704DF6"/>
    <w:rsid w:val="00705B60"/>
    <w:rsid w:val="0070651C"/>
    <w:rsid w:val="007072D0"/>
    <w:rsid w:val="00710AF0"/>
    <w:rsid w:val="00710FB4"/>
    <w:rsid w:val="007132A3"/>
    <w:rsid w:val="007133FF"/>
    <w:rsid w:val="007142C6"/>
    <w:rsid w:val="00715363"/>
    <w:rsid w:val="00716421"/>
    <w:rsid w:val="00720AFF"/>
    <w:rsid w:val="00722EB3"/>
    <w:rsid w:val="00722FAE"/>
    <w:rsid w:val="00723261"/>
    <w:rsid w:val="00723644"/>
    <w:rsid w:val="00724209"/>
    <w:rsid w:val="00724EFB"/>
    <w:rsid w:val="00725A5B"/>
    <w:rsid w:val="00725BDC"/>
    <w:rsid w:val="00727B60"/>
    <w:rsid w:val="00732D29"/>
    <w:rsid w:val="00733E1B"/>
    <w:rsid w:val="00740627"/>
    <w:rsid w:val="00740CE5"/>
    <w:rsid w:val="007419C3"/>
    <w:rsid w:val="007467A7"/>
    <w:rsid w:val="007469DD"/>
    <w:rsid w:val="00746A76"/>
    <w:rsid w:val="0074741B"/>
    <w:rsid w:val="0074759E"/>
    <w:rsid w:val="00747849"/>
    <w:rsid w:val="007478EA"/>
    <w:rsid w:val="00751E2F"/>
    <w:rsid w:val="00753270"/>
    <w:rsid w:val="0075415C"/>
    <w:rsid w:val="007544A3"/>
    <w:rsid w:val="007579CF"/>
    <w:rsid w:val="00763502"/>
    <w:rsid w:val="00764B91"/>
    <w:rsid w:val="0077046E"/>
    <w:rsid w:val="0077126E"/>
    <w:rsid w:val="00771E3D"/>
    <w:rsid w:val="007752FB"/>
    <w:rsid w:val="007754F8"/>
    <w:rsid w:val="00777394"/>
    <w:rsid w:val="00780071"/>
    <w:rsid w:val="00780838"/>
    <w:rsid w:val="007816B4"/>
    <w:rsid w:val="007828DB"/>
    <w:rsid w:val="00785AB1"/>
    <w:rsid w:val="00786174"/>
    <w:rsid w:val="00790485"/>
    <w:rsid w:val="0079105B"/>
    <w:rsid w:val="007911A1"/>
    <w:rsid w:val="007913AB"/>
    <w:rsid w:val="007914F7"/>
    <w:rsid w:val="00793923"/>
    <w:rsid w:val="00793D3D"/>
    <w:rsid w:val="00795E3A"/>
    <w:rsid w:val="007965FC"/>
    <w:rsid w:val="00797F4D"/>
    <w:rsid w:val="007A3CF4"/>
    <w:rsid w:val="007A68A3"/>
    <w:rsid w:val="007A7E9F"/>
    <w:rsid w:val="007B10C7"/>
    <w:rsid w:val="007B1625"/>
    <w:rsid w:val="007B1A6A"/>
    <w:rsid w:val="007B2C5C"/>
    <w:rsid w:val="007B706E"/>
    <w:rsid w:val="007B71EB"/>
    <w:rsid w:val="007C1AD6"/>
    <w:rsid w:val="007C3EE9"/>
    <w:rsid w:val="007C40AF"/>
    <w:rsid w:val="007C4B79"/>
    <w:rsid w:val="007C6205"/>
    <w:rsid w:val="007C6760"/>
    <w:rsid w:val="007C686A"/>
    <w:rsid w:val="007C728E"/>
    <w:rsid w:val="007D0ED0"/>
    <w:rsid w:val="007D1077"/>
    <w:rsid w:val="007D2365"/>
    <w:rsid w:val="007D28F1"/>
    <w:rsid w:val="007D2B84"/>
    <w:rsid w:val="007D2C53"/>
    <w:rsid w:val="007D3D60"/>
    <w:rsid w:val="007D42B2"/>
    <w:rsid w:val="007D5144"/>
    <w:rsid w:val="007D611F"/>
    <w:rsid w:val="007E10BD"/>
    <w:rsid w:val="007E1980"/>
    <w:rsid w:val="007E261F"/>
    <w:rsid w:val="007E283B"/>
    <w:rsid w:val="007E38E2"/>
    <w:rsid w:val="007E40CB"/>
    <w:rsid w:val="007E4B76"/>
    <w:rsid w:val="007E5B16"/>
    <w:rsid w:val="007E5EA8"/>
    <w:rsid w:val="007E615C"/>
    <w:rsid w:val="007E7469"/>
    <w:rsid w:val="007F0CF1"/>
    <w:rsid w:val="007F12A5"/>
    <w:rsid w:val="007F16BA"/>
    <w:rsid w:val="007F4CF1"/>
    <w:rsid w:val="007F5B89"/>
    <w:rsid w:val="007F5C0A"/>
    <w:rsid w:val="007F758D"/>
    <w:rsid w:val="007F7D52"/>
    <w:rsid w:val="0080654C"/>
    <w:rsid w:val="008071C6"/>
    <w:rsid w:val="00810561"/>
    <w:rsid w:val="008105F7"/>
    <w:rsid w:val="00813727"/>
    <w:rsid w:val="008138B8"/>
    <w:rsid w:val="00817A00"/>
    <w:rsid w:val="00817B3E"/>
    <w:rsid w:val="008211D0"/>
    <w:rsid w:val="0082167E"/>
    <w:rsid w:val="00822787"/>
    <w:rsid w:val="008229E4"/>
    <w:rsid w:val="00823432"/>
    <w:rsid w:val="0082386F"/>
    <w:rsid w:val="00823874"/>
    <w:rsid w:val="00824660"/>
    <w:rsid w:val="008265BD"/>
    <w:rsid w:val="00830913"/>
    <w:rsid w:val="00831205"/>
    <w:rsid w:val="008313B7"/>
    <w:rsid w:val="00831495"/>
    <w:rsid w:val="008317FF"/>
    <w:rsid w:val="00832ED5"/>
    <w:rsid w:val="008332AA"/>
    <w:rsid w:val="008355CE"/>
    <w:rsid w:val="008359CC"/>
    <w:rsid w:val="00835DB3"/>
    <w:rsid w:val="00835EC0"/>
    <w:rsid w:val="0083617B"/>
    <w:rsid w:val="00836531"/>
    <w:rsid w:val="008371BD"/>
    <w:rsid w:val="00840EA1"/>
    <w:rsid w:val="00843273"/>
    <w:rsid w:val="00843AC9"/>
    <w:rsid w:val="00844FD8"/>
    <w:rsid w:val="008504A8"/>
    <w:rsid w:val="008506E9"/>
    <w:rsid w:val="00850A1E"/>
    <w:rsid w:val="008510F0"/>
    <w:rsid w:val="00851444"/>
    <w:rsid w:val="00851ED2"/>
    <w:rsid w:val="0085282E"/>
    <w:rsid w:val="00852A32"/>
    <w:rsid w:val="008577ED"/>
    <w:rsid w:val="0086090A"/>
    <w:rsid w:val="00861686"/>
    <w:rsid w:val="0086437C"/>
    <w:rsid w:val="008653F0"/>
    <w:rsid w:val="00867775"/>
    <w:rsid w:val="00871855"/>
    <w:rsid w:val="0087198C"/>
    <w:rsid w:val="00872C1F"/>
    <w:rsid w:val="00872F27"/>
    <w:rsid w:val="00873B42"/>
    <w:rsid w:val="008740B4"/>
    <w:rsid w:val="00874B69"/>
    <w:rsid w:val="0087637B"/>
    <w:rsid w:val="008767A4"/>
    <w:rsid w:val="00881CA6"/>
    <w:rsid w:val="00883753"/>
    <w:rsid w:val="008856D8"/>
    <w:rsid w:val="00892364"/>
    <w:rsid w:val="00892825"/>
    <w:rsid w:val="008929DB"/>
    <w:rsid w:val="00892A70"/>
    <w:rsid w:val="00892E55"/>
    <w:rsid w:val="00892E82"/>
    <w:rsid w:val="008936BC"/>
    <w:rsid w:val="00893DF4"/>
    <w:rsid w:val="00896140"/>
    <w:rsid w:val="008970FA"/>
    <w:rsid w:val="00897955"/>
    <w:rsid w:val="008A012E"/>
    <w:rsid w:val="008A3F79"/>
    <w:rsid w:val="008A58B1"/>
    <w:rsid w:val="008B0C6D"/>
    <w:rsid w:val="008B1145"/>
    <w:rsid w:val="008B1CEC"/>
    <w:rsid w:val="008B2D05"/>
    <w:rsid w:val="008B4B9E"/>
    <w:rsid w:val="008B6B22"/>
    <w:rsid w:val="008B7375"/>
    <w:rsid w:val="008C1931"/>
    <w:rsid w:val="008C1B58"/>
    <w:rsid w:val="008C30E0"/>
    <w:rsid w:val="008C39AE"/>
    <w:rsid w:val="008C4A5C"/>
    <w:rsid w:val="008C5562"/>
    <w:rsid w:val="008C590D"/>
    <w:rsid w:val="008C6A49"/>
    <w:rsid w:val="008C76A3"/>
    <w:rsid w:val="008D2843"/>
    <w:rsid w:val="008D39A6"/>
    <w:rsid w:val="008D5439"/>
    <w:rsid w:val="008D5551"/>
    <w:rsid w:val="008D5A6D"/>
    <w:rsid w:val="008E031B"/>
    <w:rsid w:val="008E17F7"/>
    <w:rsid w:val="008E20F7"/>
    <w:rsid w:val="008E270E"/>
    <w:rsid w:val="008E3691"/>
    <w:rsid w:val="008E3A35"/>
    <w:rsid w:val="008E473B"/>
    <w:rsid w:val="008E53D2"/>
    <w:rsid w:val="008E540D"/>
    <w:rsid w:val="008E6B4E"/>
    <w:rsid w:val="008E6D5F"/>
    <w:rsid w:val="008E6D99"/>
    <w:rsid w:val="008E7029"/>
    <w:rsid w:val="008E7EF6"/>
    <w:rsid w:val="008F1F98"/>
    <w:rsid w:val="008F6758"/>
    <w:rsid w:val="009040DD"/>
    <w:rsid w:val="00904141"/>
    <w:rsid w:val="00905B47"/>
    <w:rsid w:val="00905E1C"/>
    <w:rsid w:val="009066A5"/>
    <w:rsid w:val="009123BB"/>
    <w:rsid w:val="0091331C"/>
    <w:rsid w:val="009177CF"/>
    <w:rsid w:val="009221D2"/>
    <w:rsid w:val="009259D6"/>
    <w:rsid w:val="009271F8"/>
    <w:rsid w:val="009279DE"/>
    <w:rsid w:val="00930116"/>
    <w:rsid w:val="00931434"/>
    <w:rsid w:val="00934A22"/>
    <w:rsid w:val="00934B8D"/>
    <w:rsid w:val="0094212C"/>
    <w:rsid w:val="00944145"/>
    <w:rsid w:val="00946C16"/>
    <w:rsid w:val="0095047D"/>
    <w:rsid w:val="00950B81"/>
    <w:rsid w:val="009512D4"/>
    <w:rsid w:val="0095259D"/>
    <w:rsid w:val="00954689"/>
    <w:rsid w:val="00955DF4"/>
    <w:rsid w:val="00957DBC"/>
    <w:rsid w:val="009617C9"/>
    <w:rsid w:val="00961C93"/>
    <w:rsid w:val="009639B6"/>
    <w:rsid w:val="00964E87"/>
    <w:rsid w:val="00965324"/>
    <w:rsid w:val="00967E17"/>
    <w:rsid w:val="009702FC"/>
    <w:rsid w:val="0097091E"/>
    <w:rsid w:val="00972F4A"/>
    <w:rsid w:val="0097422C"/>
    <w:rsid w:val="0097422E"/>
    <w:rsid w:val="009760D3"/>
    <w:rsid w:val="00977132"/>
    <w:rsid w:val="0098055A"/>
    <w:rsid w:val="00980A3D"/>
    <w:rsid w:val="009819A4"/>
    <w:rsid w:val="009819AC"/>
    <w:rsid w:val="00981A4B"/>
    <w:rsid w:val="009820CA"/>
    <w:rsid w:val="00982501"/>
    <w:rsid w:val="009826EC"/>
    <w:rsid w:val="00982CD3"/>
    <w:rsid w:val="009877D3"/>
    <w:rsid w:val="00990FED"/>
    <w:rsid w:val="0099357B"/>
    <w:rsid w:val="00994873"/>
    <w:rsid w:val="00994E8F"/>
    <w:rsid w:val="009951DC"/>
    <w:rsid w:val="009959BB"/>
    <w:rsid w:val="00995D0B"/>
    <w:rsid w:val="00997158"/>
    <w:rsid w:val="009972A0"/>
    <w:rsid w:val="00997507"/>
    <w:rsid w:val="009A0A6B"/>
    <w:rsid w:val="009A2C99"/>
    <w:rsid w:val="009A3A7C"/>
    <w:rsid w:val="009A4C40"/>
    <w:rsid w:val="009A724C"/>
    <w:rsid w:val="009B016A"/>
    <w:rsid w:val="009B1447"/>
    <w:rsid w:val="009B2A20"/>
    <w:rsid w:val="009B2ADB"/>
    <w:rsid w:val="009B2CFA"/>
    <w:rsid w:val="009B33AC"/>
    <w:rsid w:val="009B603A"/>
    <w:rsid w:val="009C0C8A"/>
    <w:rsid w:val="009C0D52"/>
    <w:rsid w:val="009C0D90"/>
    <w:rsid w:val="009C2D0E"/>
    <w:rsid w:val="009C37C0"/>
    <w:rsid w:val="009C399A"/>
    <w:rsid w:val="009C3DAC"/>
    <w:rsid w:val="009C42E0"/>
    <w:rsid w:val="009C5082"/>
    <w:rsid w:val="009C521D"/>
    <w:rsid w:val="009C6A3C"/>
    <w:rsid w:val="009D3265"/>
    <w:rsid w:val="009D3E49"/>
    <w:rsid w:val="009D4D3A"/>
    <w:rsid w:val="009D5362"/>
    <w:rsid w:val="009D5C2C"/>
    <w:rsid w:val="009D79E9"/>
    <w:rsid w:val="009E0636"/>
    <w:rsid w:val="009E0681"/>
    <w:rsid w:val="009E0BF3"/>
    <w:rsid w:val="009E1415"/>
    <w:rsid w:val="009E3A20"/>
    <w:rsid w:val="009E4A57"/>
    <w:rsid w:val="009E6116"/>
    <w:rsid w:val="009E6850"/>
    <w:rsid w:val="009F0440"/>
    <w:rsid w:val="009F16B1"/>
    <w:rsid w:val="009F2B03"/>
    <w:rsid w:val="009F443C"/>
    <w:rsid w:val="00A01C09"/>
    <w:rsid w:val="00A024BD"/>
    <w:rsid w:val="00A02E43"/>
    <w:rsid w:val="00A05116"/>
    <w:rsid w:val="00A05CED"/>
    <w:rsid w:val="00A062D3"/>
    <w:rsid w:val="00A065F9"/>
    <w:rsid w:val="00A07F34"/>
    <w:rsid w:val="00A11108"/>
    <w:rsid w:val="00A11578"/>
    <w:rsid w:val="00A11EDF"/>
    <w:rsid w:val="00A13644"/>
    <w:rsid w:val="00A15574"/>
    <w:rsid w:val="00A16690"/>
    <w:rsid w:val="00A171D5"/>
    <w:rsid w:val="00A178C0"/>
    <w:rsid w:val="00A22154"/>
    <w:rsid w:val="00A2433F"/>
    <w:rsid w:val="00A24743"/>
    <w:rsid w:val="00A25ABE"/>
    <w:rsid w:val="00A25C38"/>
    <w:rsid w:val="00A267C8"/>
    <w:rsid w:val="00A273A2"/>
    <w:rsid w:val="00A3335D"/>
    <w:rsid w:val="00A33803"/>
    <w:rsid w:val="00A36BBE"/>
    <w:rsid w:val="00A425A4"/>
    <w:rsid w:val="00A4307A"/>
    <w:rsid w:val="00A43372"/>
    <w:rsid w:val="00A44311"/>
    <w:rsid w:val="00A45603"/>
    <w:rsid w:val="00A46A4E"/>
    <w:rsid w:val="00A46CA1"/>
    <w:rsid w:val="00A470E4"/>
    <w:rsid w:val="00A47EBB"/>
    <w:rsid w:val="00A50841"/>
    <w:rsid w:val="00A51CDD"/>
    <w:rsid w:val="00A52EA1"/>
    <w:rsid w:val="00A572C7"/>
    <w:rsid w:val="00A57420"/>
    <w:rsid w:val="00A62D49"/>
    <w:rsid w:val="00A6730D"/>
    <w:rsid w:val="00A71625"/>
    <w:rsid w:val="00A717EA"/>
    <w:rsid w:val="00A71B9B"/>
    <w:rsid w:val="00A720A6"/>
    <w:rsid w:val="00A72A02"/>
    <w:rsid w:val="00A74546"/>
    <w:rsid w:val="00A7484E"/>
    <w:rsid w:val="00A751C7"/>
    <w:rsid w:val="00A75BCB"/>
    <w:rsid w:val="00A75D56"/>
    <w:rsid w:val="00A7787B"/>
    <w:rsid w:val="00A8128D"/>
    <w:rsid w:val="00A83146"/>
    <w:rsid w:val="00A8507F"/>
    <w:rsid w:val="00A85453"/>
    <w:rsid w:val="00A85B12"/>
    <w:rsid w:val="00A85BD1"/>
    <w:rsid w:val="00A86CFB"/>
    <w:rsid w:val="00A87844"/>
    <w:rsid w:val="00A9030C"/>
    <w:rsid w:val="00A91F40"/>
    <w:rsid w:val="00A95188"/>
    <w:rsid w:val="00A95808"/>
    <w:rsid w:val="00AA038C"/>
    <w:rsid w:val="00AA14A4"/>
    <w:rsid w:val="00AA367C"/>
    <w:rsid w:val="00AA4016"/>
    <w:rsid w:val="00AA403D"/>
    <w:rsid w:val="00AA7603"/>
    <w:rsid w:val="00AA7A09"/>
    <w:rsid w:val="00AA7C08"/>
    <w:rsid w:val="00AB0B59"/>
    <w:rsid w:val="00AB2C83"/>
    <w:rsid w:val="00AB2D2A"/>
    <w:rsid w:val="00AB3B50"/>
    <w:rsid w:val="00AB4852"/>
    <w:rsid w:val="00AB5B29"/>
    <w:rsid w:val="00AC05B1"/>
    <w:rsid w:val="00AC0681"/>
    <w:rsid w:val="00AC2BAE"/>
    <w:rsid w:val="00AC395F"/>
    <w:rsid w:val="00AD356C"/>
    <w:rsid w:val="00AD35FD"/>
    <w:rsid w:val="00AD664E"/>
    <w:rsid w:val="00AD7003"/>
    <w:rsid w:val="00AE07F5"/>
    <w:rsid w:val="00AE2914"/>
    <w:rsid w:val="00AE3967"/>
    <w:rsid w:val="00AE432F"/>
    <w:rsid w:val="00AE4DF3"/>
    <w:rsid w:val="00AE6D15"/>
    <w:rsid w:val="00AF2131"/>
    <w:rsid w:val="00AF21D0"/>
    <w:rsid w:val="00B0012F"/>
    <w:rsid w:val="00B01CD5"/>
    <w:rsid w:val="00B04182"/>
    <w:rsid w:val="00B07AE3"/>
    <w:rsid w:val="00B10959"/>
    <w:rsid w:val="00B11430"/>
    <w:rsid w:val="00B119C1"/>
    <w:rsid w:val="00B12FB4"/>
    <w:rsid w:val="00B14653"/>
    <w:rsid w:val="00B1513E"/>
    <w:rsid w:val="00B206BA"/>
    <w:rsid w:val="00B21AC5"/>
    <w:rsid w:val="00B226B1"/>
    <w:rsid w:val="00B2567A"/>
    <w:rsid w:val="00B301A8"/>
    <w:rsid w:val="00B30BAC"/>
    <w:rsid w:val="00B353EB"/>
    <w:rsid w:val="00B376D6"/>
    <w:rsid w:val="00B439C4"/>
    <w:rsid w:val="00B4535E"/>
    <w:rsid w:val="00B46425"/>
    <w:rsid w:val="00B4656B"/>
    <w:rsid w:val="00B47443"/>
    <w:rsid w:val="00B50DB2"/>
    <w:rsid w:val="00B52A8C"/>
    <w:rsid w:val="00B53569"/>
    <w:rsid w:val="00B5484C"/>
    <w:rsid w:val="00B57BE9"/>
    <w:rsid w:val="00B62291"/>
    <w:rsid w:val="00B6255C"/>
    <w:rsid w:val="00B6312A"/>
    <w:rsid w:val="00B636A8"/>
    <w:rsid w:val="00B665C6"/>
    <w:rsid w:val="00B70749"/>
    <w:rsid w:val="00B7144A"/>
    <w:rsid w:val="00B71F59"/>
    <w:rsid w:val="00B7265F"/>
    <w:rsid w:val="00B72EBA"/>
    <w:rsid w:val="00B805AF"/>
    <w:rsid w:val="00B81035"/>
    <w:rsid w:val="00B81C84"/>
    <w:rsid w:val="00B830B1"/>
    <w:rsid w:val="00B836CB"/>
    <w:rsid w:val="00B85200"/>
    <w:rsid w:val="00B869EC"/>
    <w:rsid w:val="00B87973"/>
    <w:rsid w:val="00B87D40"/>
    <w:rsid w:val="00B92E52"/>
    <w:rsid w:val="00B93457"/>
    <w:rsid w:val="00B9397A"/>
    <w:rsid w:val="00B9633D"/>
    <w:rsid w:val="00B9711B"/>
    <w:rsid w:val="00BA2EBE"/>
    <w:rsid w:val="00BA34BF"/>
    <w:rsid w:val="00BA7E4F"/>
    <w:rsid w:val="00BB0F28"/>
    <w:rsid w:val="00BB3ADF"/>
    <w:rsid w:val="00BB3E33"/>
    <w:rsid w:val="00BB3FB9"/>
    <w:rsid w:val="00BB458A"/>
    <w:rsid w:val="00BB45AE"/>
    <w:rsid w:val="00BB59CC"/>
    <w:rsid w:val="00BB6DD8"/>
    <w:rsid w:val="00BC1044"/>
    <w:rsid w:val="00BC1E4A"/>
    <w:rsid w:val="00BC2D0B"/>
    <w:rsid w:val="00BC49BC"/>
    <w:rsid w:val="00BC5FFA"/>
    <w:rsid w:val="00BC6798"/>
    <w:rsid w:val="00BD00D3"/>
    <w:rsid w:val="00BD03C0"/>
    <w:rsid w:val="00BD0DFE"/>
    <w:rsid w:val="00BD1659"/>
    <w:rsid w:val="00BD22CC"/>
    <w:rsid w:val="00BD3AA9"/>
    <w:rsid w:val="00BD4640"/>
    <w:rsid w:val="00BD4A18"/>
    <w:rsid w:val="00BD6DB2"/>
    <w:rsid w:val="00BE1047"/>
    <w:rsid w:val="00BE11CF"/>
    <w:rsid w:val="00BE21AB"/>
    <w:rsid w:val="00BE2475"/>
    <w:rsid w:val="00BE55CB"/>
    <w:rsid w:val="00BE70E4"/>
    <w:rsid w:val="00BE796C"/>
    <w:rsid w:val="00BF13FF"/>
    <w:rsid w:val="00BF3961"/>
    <w:rsid w:val="00BF4EE1"/>
    <w:rsid w:val="00BF617A"/>
    <w:rsid w:val="00BF7E84"/>
    <w:rsid w:val="00C00621"/>
    <w:rsid w:val="00C0379D"/>
    <w:rsid w:val="00C03931"/>
    <w:rsid w:val="00C058BD"/>
    <w:rsid w:val="00C05FE3"/>
    <w:rsid w:val="00C07631"/>
    <w:rsid w:val="00C11CB8"/>
    <w:rsid w:val="00C12235"/>
    <w:rsid w:val="00C1633D"/>
    <w:rsid w:val="00C16395"/>
    <w:rsid w:val="00C2136D"/>
    <w:rsid w:val="00C214EE"/>
    <w:rsid w:val="00C21514"/>
    <w:rsid w:val="00C21D43"/>
    <w:rsid w:val="00C2314B"/>
    <w:rsid w:val="00C24453"/>
    <w:rsid w:val="00C24971"/>
    <w:rsid w:val="00C24CB7"/>
    <w:rsid w:val="00C26B1C"/>
    <w:rsid w:val="00C26BE5"/>
    <w:rsid w:val="00C26E4D"/>
    <w:rsid w:val="00C272BC"/>
    <w:rsid w:val="00C27909"/>
    <w:rsid w:val="00C27B03"/>
    <w:rsid w:val="00C30906"/>
    <w:rsid w:val="00C31027"/>
    <w:rsid w:val="00C31424"/>
    <w:rsid w:val="00C314E1"/>
    <w:rsid w:val="00C31681"/>
    <w:rsid w:val="00C34397"/>
    <w:rsid w:val="00C34C90"/>
    <w:rsid w:val="00C40749"/>
    <w:rsid w:val="00C4095D"/>
    <w:rsid w:val="00C41EEC"/>
    <w:rsid w:val="00C4321C"/>
    <w:rsid w:val="00C435FA"/>
    <w:rsid w:val="00C44F45"/>
    <w:rsid w:val="00C45245"/>
    <w:rsid w:val="00C465A7"/>
    <w:rsid w:val="00C50F9D"/>
    <w:rsid w:val="00C5102C"/>
    <w:rsid w:val="00C51A7C"/>
    <w:rsid w:val="00C5271D"/>
    <w:rsid w:val="00C53852"/>
    <w:rsid w:val="00C54C92"/>
    <w:rsid w:val="00C55D3D"/>
    <w:rsid w:val="00C5620D"/>
    <w:rsid w:val="00C57824"/>
    <w:rsid w:val="00C601D2"/>
    <w:rsid w:val="00C62571"/>
    <w:rsid w:val="00C64CB6"/>
    <w:rsid w:val="00C65BCC"/>
    <w:rsid w:val="00C66970"/>
    <w:rsid w:val="00C6740D"/>
    <w:rsid w:val="00C74FAB"/>
    <w:rsid w:val="00C755C7"/>
    <w:rsid w:val="00C761AB"/>
    <w:rsid w:val="00C770C2"/>
    <w:rsid w:val="00C77CC0"/>
    <w:rsid w:val="00C77CE7"/>
    <w:rsid w:val="00C80EE4"/>
    <w:rsid w:val="00C8199A"/>
    <w:rsid w:val="00C82E8F"/>
    <w:rsid w:val="00C834CA"/>
    <w:rsid w:val="00C8691C"/>
    <w:rsid w:val="00C87A32"/>
    <w:rsid w:val="00C925F5"/>
    <w:rsid w:val="00C96F47"/>
    <w:rsid w:val="00C970B6"/>
    <w:rsid w:val="00CA0605"/>
    <w:rsid w:val="00CA119B"/>
    <w:rsid w:val="00CA168A"/>
    <w:rsid w:val="00CA2F0D"/>
    <w:rsid w:val="00CA357E"/>
    <w:rsid w:val="00CA44F9"/>
    <w:rsid w:val="00CA4A69"/>
    <w:rsid w:val="00CB149C"/>
    <w:rsid w:val="00CB15A2"/>
    <w:rsid w:val="00CB1BE3"/>
    <w:rsid w:val="00CB1D49"/>
    <w:rsid w:val="00CB32B3"/>
    <w:rsid w:val="00CB5ACA"/>
    <w:rsid w:val="00CB6079"/>
    <w:rsid w:val="00CB75E3"/>
    <w:rsid w:val="00CC3870"/>
    <w:rsid w:val="00CC3E0C"/>
    <w:rsid w:val="00CC42BD"/>
    <w:rsid w:val="00CC4C53"/>
    <w:rsid w:val="00CC58D3"/>
    <w:rsid w:val="00CC5E6D"/>
    <w:rsid w:val="00CC784D"/>
    <w:rsid w:val="00CD0D34"/>
    <w:rsid w:val="00CD1A44"/>
    <w:rsid w:val="00CD5859"/>
    <w:rsid w:val="00CD6079"/>
    <w:rsid w:val="00CE1F4C"/>
    <w:rsid w:val="00CE21D0"/>
    <w:rsid w:val="00CE29A8"/>
    <w:rsid w:val="00CE7073"/>
    <w:rsid w:val="00CF1271"/>
    <w:rsid w:val="00CF1F97"/>
    <w:rsid w:val="00CF27E6"/>
    <w:rsid w:val="00CF2806"/>
    <w:rsid w:val="00CF2FCE"/>
    <w:rsid w:val="00CF47D2"/>
    <w:rsid w:val="00CF4F4F"/>
    <w:rsid w:val="00CF570E"/>
    <w:rsid w:val="00CF63EE"/>
    <w:rsid w:val="00CF71D1"/>
    <w:rsid w:val="00CF7C2A"/>
    <w:rsid w:val="00D01535"/>
    <w:rsid w:val="00D0337B"/>
    <w:rsid w:val="00D034A1"/>
    <w:rsid w:val="00D05906"/>
    <w:rsid w:val="00D079B2"/>
    <w:rsid w:val="00D114E9"/>
    <w:rsid w:val="00D11E51"/>
    <w:rsid w:val="00D13A1D"/>
    <w:rsid w:val="00D13E1D"/>
    <w:rsid w:val="00D164DC"/>
    <w:rsid w:val="00D16E43"/>
    <w:rsid w:val="00D22545"/>
    <w:rsid w:val="00D22EC9"/>
    <w:rsid w:val="00D22EF5"/>
    <w:rsid w:val="00D23FE4"/>
    <w:rsid w:val="00D276AF"/>
    <w:rsid w:val="00D279A6"/>
    <w:rsid w:val="00D30D71"/>
    <w:rsid w:val="00D31431"/>
    <w:rsid w:val="00D32515"/>
    <w:rsid w:val="00D326DB"/>
    <w:rsid w:val="00D32937"/>
    <w:rsid w:val="00D34070"/>
    <w:rsid w:val="00D34AED"/>
    <w:rsid w:val="00D3504D"/>
    <w:rsid w:val="00D35E7E"/>
    <w:rsid w:val="00D3633D"/>
    <w:rsid w:val="00D37100"/>
    <w:rsid w:val="00D407AF"/>
    <w:rsid w:val="00D41394"/>
    <w:rsid w:val="00D429C6"/>
    <w:rsid w:val="00D44FA0"/>
    <w:rsid w:val="00D4545A"/>
    <w:rsid w:val="00D45718"/>
    <w:rsid w:val="00D46433"/>
    <w:rsid w:val="00D46B26"/>
    <w:rsid w:val="00D46FFA"/>
    <w:rsid w:val="00D470E0"/>
    <w:rsid w:val="00D47748"/>
    <w:rsid w:val="00D50D80"/>
    <w:rsid w:val="00D5174A"/>
    <w:rsid w:val="00D54CC3"/>
    <w:rsid w:val="00D555DD"/>
    <w:rsid w:val="00D55652"/>
    <w:rsid w:val="00D57F21"/>
    <w:rsid w:val="00D600EF"/>
    <w:rsid w:val="00D6041A"/>
    <w:rsid w:val="00D62FE7"/>
    <w:rsid w:val="00D633EB"/>
    <w:rsid w:val="00D63868"/>
    <w:rsid w:val="00D644A6"/>
    <w:rsid w:val="00D64CA6"/>
    <w:rsid w:val="00D702FF"/>
    <w:rsid w:val="00D70355"/>
    <w:rsid w:val="00D70D2A"/>
    <w:rsid w:val="00D74583"/>
    <w:rsid w:val="00D77556"/>
    <w:rsid w:val="00D77FC7"/>
    <w:rsid w:val="00D80C1F"/>
    <w:rsid w:val="00D80C75"/>
    <w:rsid w:val="00D80F00"/>
    <w:rsid w:val="00D82FF7"/>
    <w:rsid w:val="00D83111"/>
    <w:rsid w:val="00D847FE"/>
    <w:rsid w:val="00D84C02"/>
    <w:rsid w:val="00D84CF8"/>
    <w:rsid w:val="00D93573"/>
    <w:rsid w:val="00D9378C"/>
    <w:rsid w:val="00D939FC"/>
    <w:rsid w:val="00D945E4"/>
    <w:rsid w:val="00D964EA"/>
    <w:rsid w:val="00D966D0"/>
    <w:rsid w:val="00D96FBB"/>
    <w:rsid w:val="00DA0C59"/>
    <w:rsid w:val="00DA1B8E"/>
    <w:rsid w:val="00DA20AD"/>
    <w:rsid w:val="00DA3991"/>
    <w:rsid w:val="00DA6E20"/>
    <w:rsid w:val="00DA7C4D"/>
    <w:rsid w:val="00DB0AB9"/>
    <w:rsid w:val="00DB1663"/>
    <w:rsid w:val="00DB3D01"/>
    <w:rsid w:val="00DB572B"/>
    <w:rsid w:val="00DB6B2B"/>
    <w:rsid w:val="00DB7E6C"/>
    <w:rsid w:val="00DC1DBB"/>
    <w:rsid w:val="00DC2E5B"/>
    <w:rsid w:val="00DC4C15"/>
    <w:rsid w:val="00DD190B"/>
    <w:rsid w:val="00DD1D61"/>
    <w:rsid w:val="00DD5A29"/>
    <w:rsid w:val="00DD5D9D"/>
    <w:rsid w:val="00DD6A7C"/>
    <w:rsid w:val="00DE18C3"/>
    <w:rsid w:val="00DE25D2"/>
    <w:rsid w:val="00DE311B"/>
    <w:rsid w:val="00DE35CB"/>
    <w:rsid w:val="00DE409F"/>
    <w:rsid w:val="00DE589B"/>
    <w:rsid w:val="00DE65C7"/>
    <w:rsid w:val="00DE66AC"/>
    <w:rsid w:val="00DF16F5"/>
    <w:rsid w:val="00DF21E9"/>
    <w:rsid w:val="00DF32BE"/>
    <w:rsid w:val="00DF3F16"/>
    <w:rsid w:val="00DF7B14"/>
    <w:rsid w:val="00E00F14"/>
    <w:rsid w:val="00E011A2"/>
    <w:rsid w:val="00E016E9"/>
    <w:rsid w:val="00E05B42"/>
    <w:rsid w:val="00E05EB9"/>
    <w:rsid w:val="00E06200"/>
    <w:rsid w:val="00E06386"/>
    <w:rsid w:val="00E11309"/>
    <w:rsid w:val="00E1304E"/>
    <w:rsid w:val="00E1674F"/>
    <w:rsid w:val="00E16A8C"/>
    <w:rsid w:val="00E17399"/>
    <w:rsid w:val="00E21D3C"/>
    <w:rsid w:val="00E21E9A"/>
    <w:rsid w:val="00E23F88"/>
    <w:rsid w:val="00E24EB4"/>
    <w:rsid w:val="00E26540"/>
    <w:rsid w:val="00E26C98"/>
    <w:rsid w:val="00E31C4D"/>
    <w:rsid w:val="00E31FDE"/>
    <w:rsid w:val="00E320ED"/>
    <w:rsid w:val="00E3280E"/>
    <w:rsid w:val="00E33AFB"/>
    <w:rsid w:val="00E34218"/>
    <w:rsid w:val="00E343C4"/>
    <w:rsid w:val="00E35672"/>
    <w:rsid w:val="00E3577E"/>
    <w:rsid w:val="00E42B4B"/>
    <w:rsid w:val="00E431CC"/>
    <w:rsid w:val="00E46065"/>
    <w:rsid w:val="00E46282"/>
    <w:rsid w:val="00E5216E"/>
    <w:rsid w:val="00E578CB"/>
    <w:rsid w:val="00E6033E"/>
    <w:rsid w:val="00E645D8"/>
    <w:rsid w:val="00E663EE"/>
    <w:rsid w:val="00E66567"/>
    <w:rsid w:val="00E701BC"/>
    <w:rsid w:val="00E707AC"/>
    <w:rsid w:val="00E7211F"/>
    <w:rsid w:val="00E72BB5"/>
    <w:rsid w:val="00E75829"/>
    <w:rsid w:val="00E75A55"/>
    <w:rsid w:val="00E76603"/>
    <w:rsid w:val="00E80EDA"/>
    <w:rsid w:val="00E82344"/>
    <w:rsid w:val="00E824D9"/>
    <w:rsid w:val="00E82B02"/>
    <w:rsid w:val="00E83DDB"/>
    <w:rsid w:val="00E84C82"/>
    <w:rsid w:val="00E84D64"/>
    <w:rsid w:val="00E861AB"/>
    <w:rsid w:val="00E86B9C"/>
    <w:rsid w:val="00E86DFB"/>
    <w:rsid w:val="00E87408"/>
    <w:rsid w:val="00E87E3F"/>
    <w:rsid w:val="00E9006C"/>
    <w:rsid w:val="00E90F51"/>
    <w:rsid w:val="00E914C4"/>
    <w:rsid w:val="00E934F5"/>
    <w:rsid w:val="00E95B74"/>
    <w:rsid w:val="00E96961"/>
    <w:rsid w:val="00EA0E13"/>
    <w:rsid w:val="00EA14C5"/>
    <w:rsid w:val="00EA1D4F"/>
    <w:rsid w:val="00EA3B13"/>
    <w:rsid w:val="00EA3CCF"/>
    <w:rsid w:val="00EA5099"/>
    <w:rsid w:val="00EA59B4"/>
    <w:rsid w:val="00EA72EC"/>
    <w:rsid w:val="00EB11CB"/>
    <w:rsid w:val="00EB275A"/>
    <w:rsid w:val="00EB28E2"/>
    <w:rsid w:val="00EB611E"/>
    <w:rsid w:val="00EB786A"/>
    <w:rsid w:val="00EC1578"/>
    <w:rsid w:val="00EC1C72"/>
    <w:rsid w:val="00EC3CC9"/>
    <w:rsid w:val="00EC680A"/>
    <w:rsid w:val="00EC6C1A"/>
    <w:rsid w:val="00ED2ED5"/>
    <w:rsid w:val="00ED3643"/>
    <w:rsid w:val="00ED7975"/>
    <w:rsid w:val="00EE126E"/>
    <w:rsid w:val="00EE2BED"/>
    <w:rsid w:val="00EE374B"/>
    <w:rsid w:val="00EE6F41"/>
    <w:rsid w:val="00EF1BA9"/>
    <w:rsid w:val="00EF7300"/>
    <w:rsid w:val="00F0577D"/>
    <w:rsid w:val="00F06DA6"/>
    <w:rsid w:val="00F07905"/>
    <w:rsid w:val="00F07FE6"/>
    <w:rsid w:val="00F11BB5"/>
    <w:rsid w:val="00F124DA"/>
    <w:rsid w:val="00F1417B"/>
    <w:rsid w:val="00F1725C"/>
    <w:rsid w:val="00F20D43"/>
    <w:rsid w:val="00F219D3"/>
    <w:rsid w:val="00F23085"/>
    <w:rsid w:val="00F2316D"/>
    <w:rsid w:val="00F2499B"/>
    <w:rsid w:val="00F24FB1"/>
    <w:rsid w:val="00F266CD"/>
    <w:rsid w:val="00F34B99"/>
    <w:rsid w:val="00F360FD"/>
    <w:rsid w:val="00F40A4C"/>
    <w:rsid w:val="00F40A91"/>
    <w:rsid w:val="00F44860"/>
    <w:rsid w:val="00F46378"/>
    <w:rsid w:val="00F4692C"/>
    <w:rsid w:val="00F50A5A"/>
    <w:rsid w:val="00F516BF"/>
    <w:rsid w:val="00F52DAB"/>
    <w:rsid w:val="00F543F0"/>
    <w:rsid w:val="00F550EA"/>
    <w:rsid w:val="00F557C9"/>
    <w:rsid w:val="00F55C48"/>
    <w:rsid w:val="00F56BC4"/>
    <w:rsid w:val="00F57F22"/>
    <w:rsid w:val="00F6140F"/>
    <w:rsid w:val="00F66ABC"/>
    <w:rsid w:val="00F70E98"/>
    <w:rsid w:val="00F734F3"/>
    <w:rsid w:val="00F747B9"/>
    <w:rsid w:val="00F75E21"/>
    <w:rsid w:val="00F81D29"/>
    <w:rsid w:val="00F82860"/>
    <w:rsid w:val="00F830B6"/>
    <w:rsid w:val="00F83F25"/>
    <w:rsid w:val="00F84053"/>
    <w:rsid w:val="00F84133"/>
    <w:rsid w:val="00F85E55"/>
    <w:rsid w:val="00F86EF8"/>
    <w:rsid w:val="00F8701C"/>
    <w:rsid w:val="00F9007F"/>
    <w:rsid w:val="00F90DC8"/>
    <w:rsid w:val="00F91C4D"/>
    <w:rsid w:val="00F928BC"/>
    <w:rsid w:val="00F92FD9"/>
    <w:rsid w:val="00F95A78"/>
    <w:rsid w:val="00F97695"/>
    <w:rsid w:val="00FA0B3A"/>
    <w:rsid w:val="00FA11AB"/>
    <w:rsid w:val="00FA1D6A"/>
    <w:rsid w:val="00FA2900"/>
    <w:rsid w:val="00FA58D6"/>
    <w:rsid w:val="00FA6684"/>
    <w:rsid w:val="00FA731E"/>
    <w:rsid w:val="00FB08E5"/>
    <w:rsid w:val="00FB09D5"/>
    <w:rsid w:val="00FB19DE"/>
    <w:rsid w:val="00FB1A82"/>
    <w:rsid w:val="00FB2B24"/>
    <w:rsid w:val="00FB2B38"/>
    <w:rsid w:val="00FB2DC5"/>
    <w:rsid w:val="00FB3CC0"/>
    <w:rsid w:val="00FB65DB"/>
    <w:rsid w:val="00FB7DCE"/>
    <w:rsid w:val="00FC335F"/>
    <w:rsid w:val="00FC39FF"/>
    <w:rsid w:val="00FC5B26"/>
    <w:rsid w:val="00FC6358"/>
    <w:rsid w:val="00FC744C"/>
    <w:rsid w:val="00FD1D48"/>
    <w:rsid w:val="00FD2CC0"/>
    <w:rsid w:val="00FD320D"/>
    <w:rsid w:val="00FE11B3"/>
    <w:rsid w:val="00FE16D7"/>
    <w:rsid w:val="00FE23DE"/>
    <w:rsid w:val="00FE323F"/>
    <w:rsid w:val="00FE37E0"/>
    <w:rsid w:val="00FE7D6A"/>
    <w:rsid w:val="00FF3309"/>
    <w:rsid w:val="00FF63A6"/>
    <w:rsid w:val="019E1E7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0"/>
    <w:unhideWhenUsed/>
    <w:qFormat/>
    <w:uiPriority w:val="0"/>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151"/>
    <w:unhideWhenUsed/>
    <w:qFormat/>
    <w:uiPriority w:val="0"/>
    <w:pPr>
      <w:keepNext/>
      <w:keepLines/>
      <w:spacing w:before="260" w:after="260" w:line="416" w:lineRule="auto"/>
      <w:outlineLvl w:val="2"/>
    </w:pPr>
    <w:rPr>
      <w:b/>
      <w:bCs/>
      <w:sz w:val="32"/>
      <w:szCs w:val="32"/>
    </w:rPr>
  </w:style>
  <w:style w:type="character" w:default="1" w:styleId="36">
    <w:name w:val="Default Paragraph Font"/>
    <w:unhideWhenUsed/>
    <w:uiPriority w:val="1"/>
  </w:style>
  <w:style w:type="table" w:default="1" w:styleId="43">
    <w:name w:val="Normal Table"/>
    <w:unhideWhenUsed/>
    <w:qFormat/>
    <w:uiPriority w:val="99"/>
    <w:tblPr>
      <w:tblStyle w:val="43"/>
      <w:tblLayout w:type="fixed"/>
      <w:tblCellMar>
        <w:top w:w="0" w:type="dxa"/>
        <w:left w:w="108" w:type="dxa"/>
        <w:bottom w:w="0" w:type="dxa"/>
        <w:right w:w="108" w:type="dxa"/>
      </w:tblCellMar>
    </w:tblPr>
    <w:tcPr>
      <w:textDirection w:val="lrTb"/>
    </w:tcPr>
  </w:style>
  <w:style w:type="paragraph" w:styleId="5">
    <w:name w:val="annotation subject"/>
    <w:basedOn w:val="6"/>
    <w:next w:val="6"/>
    <w:link w:val="153"/>
    <w:uiPriority w:val="0"/>
    <w:rPr>
      <w:b/>
      <w:bCs/>
    </w:rPr>
  </w:style>
  <w:style w:type="paragraph" w:styleId="6">
    <w:name w:val="annotation text"/>
    <w:basedOn w:val="1"/>
    <w:link w:val="152"/>
    <w:uiPriority w:val="0"/>
    <w:pPr>
      <w:jc w:val="left"/>
    </w:pPr>
  </w:style>
  <w:style w:type="paragraph" w:styleId="7">
    <w:name w:val="toc 7"/>
    <w:basedOn w:val="1"/>
    <w:next w:val="1"/>
    <w:uiPriority w:val="39"/>
    <w:pPr>
      <w:tabs>
        <w:tab w:val="right" w:leader="dot" w:pos="9241"/>
      </w:tabs>
      <w:ind w:firstLine="500" w:firstLineChars="500"/>
      <w:jc w:val="left"/>
    </w:pPr>
    <w:rPr>
      <w:rFonts w:ascii="宋体"/>
      <w:szCs w:val="21"/>
    </w:rPr>
  </w:style>
  <w:style w:type="paragraph" w:styleId="8">
    <w:name w:val="index 8"/>
    <w:basedOn w:val="1"/>
    <w:next w:val="1"/>
    <w:uiPriority w:val="0"/>
    <w:pPr>
      <w:ind w:left="1680" w:hanging="210"/>
      <w:jc w:val="left"/>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uiPriority w:val="0"/>
    <w:pPr>
      <w:ind w:left="1050" w:hanging="210"/>
      <w:jc w:val="left"/>
    </w:pPr>
    <w:rPr>
      <w:rFonts w:ascii="Calibri" w:hAnsi="Calibri"/>
      <w:sz w:val="20"/>
      <w:szCs w:val="20"/>
    </w:rPr>
  </w:style>
  <w:style w:type="paragraph" w:styleId="11">
    <w:name w:val="Document Map"/>
    <w:basedOn w:val="1"/>
    <w:semiHidden/>
    <w:uiPriority w:val="0"/>
    <w:pPr>
      <w:shd w:val="clear" w:color="auto" w:fill="000080"/>
    </w:pPr>
  </w:style>
  <w:style w:type="paragraph" w:styleId="12">
    <w:name w:val="index 6"/>
    <w:basedOn w:val="1"/>
    <w:next w:val="1"/>
    <w:uiPriority w:val="0"/>
    <w:pPr>
      <w:ind w:left="1260" w:hanging="210"/>
      <w:jc w:val="left"/>
    </w:pPr>
    <w:rPr>
      <w:rFonts w:ascii="Calibri" w:hAnsi="Calibri"/>
      <w:sz w:val="20"/>
      <w:szCs w:val="20"/>
    </w:rPr>
  </w:style>
  <w:style w:type="paragraph" w:styleId="13">
    <w:name w:val="index 4"/>
    <w:basedOn w:val="1"/>
    <w:next w:val="1"/>
    <w:uiPriority w:val="0"/>
    <w:pPr>
      <w:ind w:left="840" w:hanging="210"/>
      <w:jc w:val="left"/>
    </w:pPr>
    <w:rPr>
      <w:rFonts w:ascii="Calibri" w:hAnsi="Calibri"/>
      <w:sz w:val="20"/>
      <w:szCs w:val="20"/>
    </w:rPr>
  </w:style>
  <w:style w:type="paragraph" w:styleId="14">
    <w:name w:val="toc 5"/>
    <w:basedOn w:val="1"/>
    <w:next w:val="1"/>
    <w:uiPriority w:val="39"/>
    <w:pPr>
      <w:tabs>
        <w:tab w:val="right" w:leader="dot" w:pos="9241"/>
      </w:tabs>
      <w:ind w:firstLine="300" w:firstLineChars="300"/>
      <w:jc w:val="left"/>
    </w:pPr>
    <w:rPr>
      <w:rFonts w:ascii="宋体"/>
      <w:szCs w:val="21"/>
    </w:rPr>
  </w:style>
  <w:style w:type="paragraph" w:styleId="15">
    <w:name w:val="toc 3"/>
    <w:basedOn w:val="1"/>
    <w:next w:val="1"/>
    <w:qFormat/>
    <w:uiPriority w:val="39"/>
    <w:pPr>
      <w:tabs>
        <w:tab w:val="right" w:leader="dot" w:pos="9241"/>
      </w:tabs>
      <w:ind w:firstLine="100" w:firstLineChars="100"/>
      <w:jc w:val="left"/>
    </w:pPr>
    <w:rPr>
      <w:rFonts w:ascii="宋体"/>
      <w:szCs w:val="21"/>
    </w:rPr>
  </w:style>
  <w:style w:type="paragraph" w:styleId="16">
    <w:name w:val="Plain Text"/>
    <w:basedOn w:val="1"/>
    <w:link w:val="146"/>
    <w:uiPriority w:val="0"/>
    <w:rPr>
      <w:rFonts w:ascii="宋体" w:hAnsi="Courier New"/>
      <w:szCs w:val="20"/>
    </w:rPr>
  </w:style>
  <w:style w:type="paragraph" w:styleId="17">
    <w:name w:val="toc 8"/>
    <w:basedOn w:val="1"/>
    <w:next w:val="1"/>
    <w:uiPriority w:val="39"/>
    <w:pPr>
      <w:tabs>
        <w:tab w:val="right" w:leader="dot" w:pos="9241"/>
      </w:tabs>
      <w:ind w:firstLine="607" w:firstLineChars="600"/>
      <w:jc w:val="left"/>
    </w:pPr>
    <w:rPr>
      <w:rFonts w:ascii="宋体"/>
      <w:szCs w:val="21"/>
    </w:rPr>
  </w:style>
  <w:style w:type="paragraph" w:styleId="18">
    <w:name w:val="index 3"/>
    <w:basedOn w:val="1"/>
    <w:next w:val="1"/>
    <w:uiPriority w:val="0"/>
    <w:pPr>
      <w:ind w:left="630" w:hanging="210"/>
      <w:jc w:val="left"/>
    </w:pPr>
    <w:rPr>
      <w:rFonts w:ascii="Calibri" w:hAnsi="Calibri"/>
      <w:sz w:val="20"/>
      <w:szCs w:val="20"/>
    </w:rPr>
  </w:style>
  <w:style w:type="paragraph" w:styleId="19">
    <w:name w:val="endnote text"/>
    <w:basedOn w:val="1"/>
    <w:semiHidden/>
    <w:uiPriority w:val="0"/>
    <w:pPr>
      <w:snapToGrid w:val="0"/>
      <w:jc w:val="left"/>
    </w:pPr>
  </w:style>
  <w:style w:type="paragraph" w:styleId="20">
    <w:name w:val="Balloon Text"/>
    <w:basedOn w:val="1"/>
    <w:link w:val="147"/>
    <w:uiPriority w:val="0"/>
    <w:rPr>
      <w:sz w:val="18"/>
      <w:szCs w:val="18"/>
    </w:rPr>
  </w:style>
  <w:style w:type="paragraph" w:styleId="21">
    <w:name w:val="footer"/>
    <w:basedOn w:val="1"/>
    <w:uiPriority w:val="0"/>
    <w:pPr>
      <w:snapToGrid w:val="0"/>
      <w:ind w:right="210" w:rightChars="100"/>
      <w:jc w:val="right"/>
    </w:pPr>
    <w:rPr>
      <w:sz w:val="18"/>
      <w:szCs w:val="18"/>
    </w:rPr>
  </w:style>
  <w:style w:type="paragraph" w:styleId="22">
    <w:name w:val="header"/>
    <w:basedOn w:val="1"/>
    <w:link w:val="148"/>
    <w:uiPriority w:val="99"/>
    <w:pPr>
      <w:snapToGrid w:val="0"/>
      <w:jc w:val="left"/>
    </w:pPr>
    <w:rPr>
      <w:sz w:val="18"/>
      <w:szCs w:val="18"/>
    </w:rPr>
  </w:style>
  <w:style w:type="paragraph" w:styleId="23">
    <w:name w:val="toc 1"/>
    <w:basedOn w:val="1"/>
    <w:next w:val="1"/>
    <w:qFormat/>
    <w:uiPriority w:val="39"/>
    <w:pPr>
      <w:tabs>
        <w:tab w:val="right" w:leader="dot" w:pos="9242"/>
      </w:tabs>
      <w:spacing w:beforeLines="25" w:afterLines="25"/>
      <w:jc w:val="left"/>
    </w:pPr>
    <w:rPr>
      <w:rFonts w:ascii="宋体"/>
      <w:szCs w:val="21"/>
    </w:rPr>
  </w:style>
  <w:style w:type="paragraph" w:styleId="24">
    <w:name w:val="toc 4"/>
    <w:basedOn w:val="1"/>
    <w:next w:val="1"/>
    <w:uiPriority w:val="39"/>
    <w:pPr>
      <w:tabs>
        <w:tab w:val="right" w:leader="dot" w:pos="9241"/>
      </w:tabs>
      <w:ind w:firstLine="200" w:firstLineChars="200"/>
      <w:jc w:val="left"/>
    </w:pPr>
    <w:rPr>
      <w:rFonts w:ascii="宋体"/>
      <w:szCs w:val="21"/>
    </w:rPr>
  </w:style>
  <w:style w:type="paragraph" w:styleId="25">
    <w:name w:val="index heading"/>
    <w:basedOn w:val="1"/>
    <w:next w:val="26"/>
    <w:uiPriority w:val="0"/>
    <w:pPr>
      <w:spacing w:before="120" w:after="120"/>
      <w:jc w:val="center"/>
    </w:pPr>
    <w:rPr>
      <w:rFonts w:ascii="Calibri" w:hAnsi="Calibri"/>
      <w:b/>
      <w:bCs/>
      <w:iCs/>
      <w:szCs w:val="20"/>
    </w:rPr>
  </w:style>
  <w:style w:type="paragraph" w:styleId="26">
    <w:name w:val="index 1"/>
    <w:basedOn w:val="1"/>
    <w:next w:val="27"/>
    <w:uiPriority w:val="0"/>
    <w:pPr>
      <w:tabs>
        <w:tab w:val="right" w:leader="dot" w:pos="9299"/>
      </w:tabs>
      <w:jc w:val="left"/>
    </w:pPr>
    <w:rPr>
      <w:rFonts w:ascii="宋体"/>
      <w:szCs w:val="21"/>
    </w:rPr>
  </w:style>
  <w:style w:type="paragraph" w:customStyle="1" w:styleId="27">
    <w:name w:val="段"/>
    <w:link w:val="142"/>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uiPriority w:val="0"/>
    <w:pPr>
      <w:numPr>
        <w:ilvl w:val="0"/>
        <w:numId w:val="1"/>
      </w:numPr>
      <w:snapToGrid w:val="0"/>
      <w:jc w:val="left"/>
    </w:pPr>
    <w:rPr>
      <w:rFonts w:ascii="宋体"/>
      <w:sz w:val="18"/>
      <w:szCs w:val="18"/>
    </w:rPr>
  </w:style>
  <w:style w:type="paragraph" w:styleId="29">
    <w:name w:val="toc 6"/>
    <w:basedOn w:val="1"/>
    <w:next w:val="1"/>
    <w:uiPriority w:val="39"/>
    <w:pPr>
      <w:tabs>
        <w:tab w:val="right" w:leader="dot" w:pos="9241"/>
      </w:tabs>
      <w:ind w:firstLine="400" w:firstLineChars="400"/>
      <w:jc w:val="left"/>
    </w:pPr>
    <w:rPr>
      <w:rFonts w:ascii="宋体"/>
      <w:szCs w:val="21"/>
    </w:rPr>
  </w:style>
  <w:style w:type="paragraph" w:styleId="30">
    <w:name w:val="index 7"/>
    <w:basedOn w:val="1"/>
    <w:next w:val="1"/>
    <w:uiPriority w:val="0"/>
    <w:pPr>
      <w:ind w:left="1470" w:hanging="210"/>
      <w:jc w:val="left"/>
    </w:pPr>
    <w:rPr>
      <w:rFonts w:ascii="Calibri" w:hAnsi="Calibri"/>
      <w:sz w:val="20"/>
      <w:szCs w:val="20"/>
    </w:rPr>
  </w:style>
  <w:style w:type="paragraph" w:styleId="31">
    <w:name w:val="index 9"/>
    <w:basedOn w:val="1"/>
    <w:next w:val="1"/>
    <w:uiPriority w:val="0"/>
    <w:pPr>
      <w:ind w:left="1890" w:hanging="210"/>
      <w:jc w:val="left"/>
    </w:pPr>
    <w:rPr>
      <w:rFonts w:ascii="Calibri" w:hAnsi="Calibri"/>
      <w:sz w:val="20"/>
      <w:szCs w:val="20"/>
    </w:rPr>
  </w:style>
  <w:style w:type="paragraph" w:styleId="32">
    <w:name w:val="toc 2"/>
    <w:basedOn w:val="1"/>
    <w:next w:val="1"/>
    <w:qFormat/>
    <w:uiPriority w:val="39"/>
    <w:pPr>
      <w:tabs>
        <w:tab w:val="right" w:leader="dot" w:pos="9242"/>
      </w:tabs>
    </w:pPr>
    <w:rPr>
      <w:rFonts w:ascii="宋体"/>
      <w:szCs w:val="21"/>
    </w:rPr>
  </w:style>
  <w:style w:type="paragraph" w:styleId="33">
    <w:name w:val="toc 9"/>
    <w:basedOn w:val="1"/>
    <w:next w:val="1"/>
    <w:uiPriority w:val="39"/>
    <w:pPr>
      <w:ind w:left="1470"/>
      <w:jc w:val="left"/>
    </w:pPr>
    <w:rPr>
      <w:sz w:val="20"/>
      <w:szCs w:val="20"/>
    </w:rPr>
  </w:style>
  <w:style w:type="paragraph" w:styleId="34">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35">
    <w:name w:val="index 2"/>
    <w:basedOn w:val="1"/>
    <w:next w:val="1"/>
    <w:uiPriority w:val="0"/>
    <w:pPr>
      <w:ind w:left="420" w:hanging="210"/>
      <w:jc w:val="left"/>
    </w:pPr>
    <w:rPr>
      <w:rFonts w:ascii="Calibri" w:hAnsi="Calibri"/>
      <w:sz w:val="20"/>
      <w:szCs w:val="20"/>
    </w:rPr>
  </w:style>
  <w:style w:type="character" w:styleId="37">
    <w:name w:val="endnote reference"/>
    <w:basedOn w:val="36"/>
    <w:semiHidden/>
    <w:uiPriority w:val="0"/>
    <w:rPr>
      <w:vertAlign w:val="superscript"/>
    </w:rPr>
  </w:style>
  <w:style w:type="character" w:styleId="38">
    <w:name w:val="page number"/>
    <w:basedOn w:val="36"/>
    <w:uiPriority w:val="0"/>
    <w:rPr>
      <w:rFonts w:ascii="Times New Roman" w:hAnsi="Times New Roman" w:eastAsia="宋体"/>
      <w:sz w:val="18"/>
    </w:rPr>
  </w:style>
  <w:style w:type="character" w:styleId="39">
    <w:name w:val="FollowedHyperlink"/>
    <w:basedOn w:val="36"/>
    <w:uiPriority w:val="0"/>
    <w:rPr>
      <w:color w:val="800080"/>
      <w:u w:val="single"/>
    </w:rPr>
  </w:style>
  <w:style w:type="character" w:styleId="40">
    <w:name w:val="Hyperlink"/>
    <w:basedOn w:val="36"/>
    <w:uiPriority w:val="99"/>
    <w:rPr>
      <w:color w:val="0000FF"/>
      <w:spacing w:val="0"/>
      <w:w w:val="100"/>
      <w:szCs w:val="21"/>
      <w:u w:val="single"/>
    </w:rPr>
  </w:style>
  <w:style w:type="character" w:styleId="41">
    <w:name w:val="annotation reference"/>
    <w:basedOn w:val="36"/>
    <w:uiPriority w:val="0"/>
    <w:rPr>
      <w:sz w:val="21"/>
      <w:szCs w:val="21"/>
    </w:rPr>
  </w:style>
  <w:style w:type="character" w:styleId="42">
    <w:name w:val="footnote reference"/>
    <w:basedOn w:val="36"/>
    <w:semiHidden/>
    <w:uiPriority w:val="0"/>
    <w:rPr>
      <w:vertAlign w:val="superscript"/>
    </w:rPr>
  </w:style>
  <w:style w:type="table" w:styleId="44">
    <w:name w:val="Table Grid"/>
    <w:basedOn w:val="43"/>
    <w:uiPriority w:val="59"/>
    <w:pPr/>
    <w:rPr>
      <w:rFonts w:ascii="宋体"/>
      <w:sz w:val="18"/>
      <w:szCs w:val="18"/>
    </w:rPr>
    <w:tblPr>
      <w:tblStyle w:val="4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paragraph" w:customStyle="1" w:styleId="45">
    <w:name w:val="一级条标题"/>
    <w:next w:val="27"/>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6">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8">
    <w:name w:val="章标题"/>
    <w:next w:val="27"/>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9">
    <w:name w:val="二级条标题"/>
    <w:basedOn w:val="45"/>
    <w:next w:val="27"/>
    <w:uiPriority w:val="0"/>
    <w:pPr>
      <w:numPr>
        <w:ilvl w:val="2"/>
        <w:numId w:val="2"/>
      </w:numPr>
      <w:spacing w:before="50" w:after="50"/>
      <w:ind w:left="1135"/>
      <w:outlineLvl w:val="3"/>
    </w:pPr>
  </w:style>
  <w:style w:type="paragraph" w:customStyle="1" w:styleId="50">
    <w:name w:val="封面标准号2"/>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1">
    <w:name w:val="列项——（一级）"/>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2">
    <w:name w:val="列项●（二级）"/>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3">
    <w:name w:val="目次、标准名称标题"/>
    <w:basedOn w:val="1"/>
    <w:next w:val="27"/>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4">
    <w:name w:val="三级条标题"/>
    <w:basedOn w:val="49"/>
    <w:next w:val="27"/>
    <w:uiPriority w:val="0"/>
    <w:pPr>
      <w:numPr>
        <w:ilvl w:val="3"/>
        <w:numId w:val="2"/>
      </w:numPr>
      <w:outlineLvl w:val="4"/>
    </w:pPr>
  </w:style>
  <w:style w:type="paragraph" w:customStyle="1" w:styleId="55">
    <w:name w:val="示例"/>
    <w:next w:val="56"/>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6">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57">
    <w:name w:val="数字编号列项（二级）"/>
    <w:uiPriority w:val="0"/>
    <w:pPr>
      <w:numPr>
        <w:ilvl w:val="1"/>
        <w:numId w:val="5"/>
      </w:numPr>
      <w:tabs>
        <w:tab w:val="left" w:pos="839"/>
      </w:tabs>
      <w:jc w:val="both"/>
    </w:pPr>
    <w:rPr>
      <w:rFonts w:ascii="宋体" w:hAnsi="Times New Roman" w:eastAsia="宋体" w:cs="Times New Roman"/>
      <w:sz w:val="21"/>
      <w:lang w:val="en-US" w:eastAsia="zh-CN" w:bidi="ar-SA"/>
    </w:rPr>
  </w:style>
  <w:style w:type="paragraph" w:customStyle="1" w:styleId="58">
    <w:name w:val="四级条标题"/>
    <w:basedOn w:val="54"/>
    <w:next w:val="27"/>
    <w:uiPriority w:val="0"/>
    <w:pPr>
      <w:numPr>
        <w:ilvl w:val="4"/>
        <w:numId w:val="2"/>
      </w:numPr>
      <w:outlineLvl w:val="5"/>
    </w:pPr>
  </w:style>
  <w:style w:type="paragraph" w:customStyle="1" w:styleId="59">
    <w:name w:val="五级条标题"/>
    <w:basedOn w:val="58"/>
    <w:next w:val="27"/>
    <w:uiPriority w:val="0"/>
    <w:pPr>
      <w:numPr>
        <w:ilvl w:val="5"/>
        <w:numId w:val="2"/>
      </w:numPr>
      <w:outlineLvl w:val="6"/>
    </w:pPr>
  </w:style>
  <w:style w:type="paragraph" w:customStyle="1" w:styleId="60">
    <w:name w:val="注："/>
    <w:next w:val="27"/>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1">
    <w:name w:val="注×："/>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2">
    <w:name w:val="字母编号列项（一级）"/>
    <w:uiPriority w:val="0"/>
    <w:pPr>
      <w:numPr>
        <w:ilvl w:val="0"/>
        <w:numId w:val="5"/>
      </w:numPr>
      <w:jc w:val="both"/>
    </w:pPr>
    <w:rPr>
      <w:rFonts w:ascii="宋体" w:hAnsi="Times New Roman" w:eastAsia="宋体" w:cs="Times New Roman"/>
      <w:sz w:val="21"/>
      <w:lang w:val="en-US" w:eastAsia="zh-CN" w:bidi="ar-SA"/>
    </w:rPr>
  </w:style>
  <w:style w:type="paragraph" w:customStyle="1" w:styleId="63">
    <w:name w:val="列项◆（三级）"/>
    <w:basedOn w:val="1"/>
    <w:uiPriority w:val="0"/>
    <w:pPr>
      <w:numPr>
        <w:ilvl w:val="2"/>
        <w:numId w:val="3"/>
      </w:numPr>
    </w:pPr>
    <w:rPr>
      <w:rFonts w:ascii="宋体"/>
      <w:szCs w:val="21"/>
    </w:rPr>
  </w:style>
  <w:style w:type="paragraph" w:customStyle="1" w:styleId="64">
    <w:name w:val="编号列项（三级）"/>
    <w:uiPriority w:val="0"/>
    <w:rPr>
      <w:rFonts w:ascii="宋体" w:hAnsi="Times New Roman" w:eastAsia="宋体" w:cs="Times New Roman"/>
      <w:sz w:val="21"/>
      <w:lang w:val="en-US" w:eastAsia="zh-CN" w:bidi="ar-SA"/>
    </w:rPr>
  </w:style>
  <w:style w:type="paragraph" w:customStyle="1" w:styleId="65">
    <w:name w:val="示例×："/>
    <w:basedOn w:val="48"/>
    <w:qFormat/>
    <w:uiPriority w:val="0"/>
    <w:pPr>
      <w:numPr>
        <w:ilvl w:val="0"/>
        <w:numId w:val="8"/>
      </w:numPr>
      <w:spacing w:beforeLines="0" w:afterLines="0"/>
      <w:outlineLvl w:val="9"/>
    </w:pPr>
    <w:rPr>
      <w:rFonts w:ascii="宋体" w:eastAsia="宋体"/>
      <w:sz w:val="18"/>
      <w:szCs w:val="18"/>
    </w:rPr>
  </w:style>
  <w:style w:type="paragraph" w:customStyle="1" w:styleId="66">
    <w:name w:val="二级无"/>
    <w:basedOn w:val="49"/>
    <w:uiPriority w:val="0"/>
    <w:pPr>
      <w:spacing w:beforeLines="0" w:afterLines="0"/>
      <w:ind w:left="0"/>
    </w:pPr>
    <w:rPr>
      <w:rFonts w:ascii="宋体" w:eastAsia="宋体"/>
    </w:rPr>
  </w:style>
  <w:style w:type="paragraph" w:customStyle="1" w:styleId="67">
    <w:name w:val="注：（正文）"/>
    <w:basedOn w:val="60"/>
    <w:next w:val="27"/>
    <w:uiPriority w:val="0"/>
  </w:style>
  <w:style w:type="paragraph" w:customStyle="1" w:styleId="68">
    <w:name w:val="注×：（正文）"/>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9">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0">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1">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72">
    <w:name w:val="标准书眉_偶数页"/>
    <w:basedOn w:val="47"/>
    <w:next w:val="1"/>
    <w:uiPriority w:val="0"/>
    <w:pPr>
      <w:jc w:val="left"/>
    </w:pPr>
  </w:style>
  <w:style w:type="paragraph" w:customStyle="1" w:styleId="73">
    <w:name w:val="标准书眉一"/>
    <w:uiPriority w:val="0"/>
    <w:pPr>
      <w:jc w:val="both"/>
    </w:pPr>
    <w:rPr>
      <w:rFonts w:ascii="Times New Roman" w:hAnsi="Times New Roman" w:eastAsia="宋体" w:cs="Times New Roman"/>
      <w:lang w:val="en-US" w:eastAsia="zh-CN" w:bidi="ar-SA"/>
    </w:rPr>
  </w:style>
  <w:style w:type="paragraph" w:customStyle="1" w:styleId="74">
    <w:name w:val="参考文献"/>
    <w:basedOn w:val="1"/>
    <w:next w:val="27"/>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参考文献、索引标题"/>
    <w:basedOn w:val="1"/>
    <w:next w:val="27"/>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6">
    <w:name w:val="发布部门"/>
    <w:next w:val="27"/>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发布日期"/>
    <w:uiPriority w:val="0"/>
    <w:rPr>
      <w:rFonts w:ascii="Times New Roman" w:hAnsi="Times New Roman" w:eastAsia="黑体" w:cs="Times New Roman"/>
      <w:sz w:val="28"/>
      <w:lang w:val="en-US" w:eastAsia="zh-CN" w:bidi="ar-SA"/>
    </w:rPr>
  </w:style>
  <w:style w:type="paragraph" w:customStyle="1" w:styleId="78">
    <w:name w:val="封面标准代替信息"/>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79">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0">
    <w:name w:val="封面标准名称"/>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
    <w:basedOn w:val="80"/>
    <w:uiPriority w:val="0"/>
    <w:pPr>
      <w:framePr w:wrap="around" w:vAnchor="margin" w:hAnchor="text" w:y="1"/>
      <w:spacing w:before="370" w:line="400" w:lineRule="exact"/>
    </w:pPr>
    <w:rPr>
      <w:rFonts w:ascii="Times New Roman"/>
      <w:sz w:val="28"/>
      <w:szCs w:val="28"/>
    </w:rPr>
  </w:style>
  <w:style w:type="paragraph" w:customStyle="1" w:styleId="82">
    <w:name w:val="封面一致性程度标识"/>
    <w:basedOn w:val="81"/>
    <w:uiPriority w:val="0"/>
    <w:pPr>
      <w:framePr/>
      <w:spacing w:before="440"/>
    </w:pPr>
    <w:rPr>
      <w:rFonts w:ascii="宋体" w:eastAsia="宋体"/>
    </w:rPr>
  </w:style>
  <w:style w:type="paragraph" w:customStyle="1" w:styleId="83">
    <w:name w:val="封面标准文稿类别"/>
    <w:basedOn w:val="82"/>
    <w:uiPriority w:val="0"/>
    <w:pPr>
      <w:framePr/>
      <w:spacing w:after="160" w:line="240" w:lineRule="auto"/>
    </w:pPr>
    <w:rPr>
      <w:sz w:val="24"/>
    </w:rPr>
  </w:style>
  <w:style w:type="paragraph" w:customStyle="1" w:styleId="84">
    <w:name w:val="封面标准文稿编辑信息"/>
    <w:basedOn w:val="83"/>
    <w:uiPriority w:val="0"/>
    <w:pPr>
      <w:framePr/>
      <w:spacing w:before="180" w:line="180" w:lineRule="exact"/>
    </w:pPr>
    <w:rPr>
      <w:sz w:val="21"/>
    </w:rPr>
  </w:style>
  <w:style w:type="paragraph" w:customStyle="1" w:styleId="85">
    <w:name w:val="封面正文"/>
    <w:uiPriority w:val="0"/>
    <w:pPr>
      <w:jc w:val="both"/>
    </w:pPr>
    <w:rPr>
      <w:rFonts w:ascii="Times New Roman" w:hAnsi="Times New Roman" w:eastAsia="宋体" w:cs="Times New Roman"/>
      <w:lang w:val="en-US" w:eastAsia="zh-CN" w:bidi="ar-SA"/>
    </w:rPr>
  </w:style>
  <w:style w:type="paragraph" w:customStyle="1" w:styleId="86">
    <w:name w:val="附录标识"/>
    <w:basedOn w:val="1"/>
    <w:next w:val="27"/>
    <w:uiPriority w:val="0"/>
    <w:pPr>
      <w:keepNext/>
      <w:widowControl/>
      <w:numPr>
        <w:ilvl w:val="0"/>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87">
    <w:name w:val="附录标题"/>
    <w:basedOn w:val="27"/>
    <w:next w:val="27"/>
    <w:uiPriority w:val="0"/>
    <w:pPr>
      <w:ind w:firstLine="0" w:firstLineChars="0"/>
      <w:jc w:val="center"/>
    </w:pPr>
    <w:rPr>
      <w:rFonts w:ascii="黑体" w:eastAsia="黑体"/>
    </w:rPr>
  </w:style>
  <w:style w:type="paragraph" w:customStyle="1" w:styleId="88">
    <w:name w:val="附录表标号"/>
    <w:basedOn w:val="1"/>
    <w:next w:val="27"/>
    <w:uiPriority w:val="0"/>
    <w:pPr>
      <w:numPr>
        <w:ilvl w:val="0"/>
        <w:numId w:val="11"/>
      </w:numPr>
      <w:spacing w:line="14" w:lineRule="exact"/>
      <w:ind w:left="811" w:hanging="448"/>
      <w:jc w:val="center"/>
      <w:outlineLvl w:val="0"/>
    </w:pPr>
    <w:rPr>
      <w:color w:val="FFFFFF"/>
    </w:rPr>
  </w:style>
  <w:style w:type="paragraph" w:customStyle="1" w:styleId="89">
    <w:name w:val="附录表标题"/>
    <w:basedOn w:val="1"/>
    <w:next w:val="27"/>
    <w:uiPriority w:val="0"/>
    <w:pPr>
      <w:numPr>
        <w:ilvl w:val="1"/>
        <w:numId w:val="11"/>
      </w:numPr>
      <w:tabs>
        <w:tab w:val="left" w:pos="0"/>
        <w:tab w:val="left" w:pos="180"/>
      </w:tabs>
      <w:spacing w:beforeLines="50" w:afterLines="50"/>
      <w:ind w:left="0" w:firstLine="0"/>
      <w:jc w:val="center"/>
    </w:pPr>
    <w:rPr>
      <w:rFonts w:ascii="黑体" w:eastAsia="黑体"/>
      <w:szCs w:val="21"/>
    </w:rPr>
  </w:style>
  <w:style w:type="paragraph" w:customStyle="1" w:styleId="90">
    <w:name w:val="附录二级条标题"/>
    <w:basedOn w:val="1"/>
    <w:next w:val="27"/>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1">
    <w:name w:val="附录二级无"/>
    <w:basedOn w:val="90"/>
    <w:uiPriority w:val="0"/>
    <w:pPr>
      <w:tabs>
        <w:tab w:val="clear" w:pos="360"/>
      </w:tabs>
      <w:spacing w:beforeLines="0" w:afterLines="0"/>
    </w:pPr>
    <w:rPr>
      <w:rFonts w:ascii="宋体" w:eastAsia="宋体"/>
      <w:szCs w:val="21"/>
    </w:rPr>
  </w:style>
  <w:style w:type="paragraph" w:customStyle="1" w:styleId="92">
    <w:name w:val="附录公式"/>
    <w:basedOn w:val="27"/>
    <w:next w:val="27"/>
    <w:link w:val="144"/>
    <w:qFormat/>
    <w:uiPriority w:val="0"/>
  </w:style>
  <w:style w:type="paragraph" w:customStyle="1" w:styleId="93">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三级条标题"/>
    <w:basedOn w:val="90"/>
    <w:next w:val="27"/>
    <w:uiPriority w:val="0"/>
    <w:pPr>
      <w:numPr>
        <w:ilvl w:val="4"/>
        <w:numId w:val="10"/>
      </w:numPr>
      <w:outlineLvl w:val="4"/>
    </w:pPr>
  </w:style>
  <w:style w:type="paragraph" w:customStyle="1" w:styleId="95">
    <w:name w:val="附录三级无"/>
    <w:basedOn w:val="94"/>
    <w:uiPriority w:val="0"/>
    <w:pPr>
      <w:tabs>
        <w:tab w:val="clear" w:pos="360"/>
      </w:tabs>
      <w:spacing w:beforeLines="0" w:afterLines="0"/>
    </w:pPr>
    <w:rPr>
      <w:rFonts w:ascii="宋体" w:eastAsia="宋体"/>
      <w:szCs w:val="21"/>
    </w:rPr>
  </w:style>
  <w:style w:type="paragraph" w:customStyle="1" w:styleId="96">
    <w:name w:val="附录数字编号列项（二级）"/>
    <w:qFormat/>
    <w:uiPriority w:val="0"/>
    <w:pPr>
      <w:numPr>
        <w:ilvl w:val="1"/>
        <w:numId w:val="12"/>
      </w:numPr>
      <w:tabs>
        <w:tab w:val="left" w:pos="839"/>
      </w:tabs>
    </w:pPr>
    <w:rPr>
      <w:rFonts w:ascii="宋体" w:hAnsi="Times New Roman" w:eastAsia="宋体" w:cs="Times New Roman"/>
      <w:sz w:val="21"/>
      <w:lang w:val="en-US" w:eastAsia="zh-CN" w:bidi="ar-SA"/>
    </w:rPr>
  </w:style>
  <w:style w:type="paragraph" w:customStyle="1" w:styleId="97">
    <w:name w:val="附录四级条标题"/>
    <w:basedOn w:val="94"/>
    <w:next w:val="27"/>
    <w:uiPriority w:val="0"/>
    <w:pPr>
      <w:numPr>
        <w:ilvl w:val="5"/>
        <w:numId w:val="10"/>
      </w:numPr>
      <w:outlineLvl w:val="5"/>
    </w:pPr>
  </w:style>
  <w:style w:type="paragraph" w:customStyle="1" w:styleId="98">
    <w:name w:val="附录四级无"/>
    <w:basedOn w:val="97"/>
    <w:uiPriority w:val="0"/>
    <w:pPr>
      <w:tabs>
        <w:tab w:val="clear" w:pos="360"/>
      </w:tabs>
      <w:spacing w:beforeLines="0" w:afterLines="0"/>
    </w:pPr>
    <w:rPr>
      <w:rFonts w:ascii="宋体" w:eastAsia="宋体"/>
      <w:szCs w:val="21"/>
    </w:rPr>
  </w:style>
  <w:style w:type="paragraph" w:customStyle="1" w:styleId="99">
    <w:name w:val="附录图标号"/>
    <w:basedOn w:val="1"/>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0">
    <w:name w:val="附录图标题"/>
    <w:basedOn w:val="1"/>
    <w:next w:val="27"/>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1">
    <w:name w:val="附录五级条标题"/>
    <w:basedOn w:val="97"/>
    <w:next w:val="27"/>
    <w:uiPriority w:val="0"/>
    <w:pPr>
      <w:numPr>
        <w:ilvl w:val="6"/>
        <w:numId w:val="10"/>
      </w:numPr>
      <w:outlineLvl w:val="6"/>
    </w:pPr>
  </w:style>
  <w:style w:type="paragraph" w:customStyle="1" w:styleId="102">
    <w:name w:val="附录五级无"/>
    <w:basedOn w:val="101"/>
    <w:uiPriority w:val="0"/>
    <w:pPr>
      <w:tabs>
        <w:tab w:val="clear" w:pos="360"/>
      </w:tabs>
      <w:spacing w:beforeLines="0" w:afterLines="0"/>
    </w:pPr>
    <w:rPr>
      <w:rFonts w:ascii="宋体" w:eastAsia="宋体"/>
      <w:szCs w:val="21"/>
    </w:rPr>
  </w:style>
  <w:style w:type="paragraph" w:customStyle="1" w:styleId="103">
    <w:name w:val="附录章标题"/>
    <w:next w:val="27"/>
    <w:uiPriority w:val="0"/>
    <w:pPr>
      <w:numPr>
        <w:ilvl w:val="1"/>
        <w:numId w:val="10"/>
      </w:numPr>
      <w:wordWrap w:val="0"/>
      <w:overflowPunct w:val="0"/>
      <w:autoSpaceDE w:val="0"/>
      <w:spacing w:beforeLines="100" w:afterLines="100"/>
      <w:ind w:left="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一级条标题"/>
    <w:basedOn w:val="103"/>
    <w:next w:val="27"/>
    <w:uiPriority w:val="0"/>
    <w:pPr>
      <w:numPr>
        <w:ilvl w:val="2"/>
        <w:numId w:val="10"/>
      </w:numPr>
      <w:autoSpaceDN w:val="0"/>
      <w:spacing w:beforeLines="50" w:afterLines="50"/>
      <w:ind w:left="0"/>
      <w:outlineLvl w:val="2"/>
    </w:pPr>
  </w:style>
  <w:style w:type="paragraph" w:customStyle="1" w:styleId="105">
    <w:name w:val="附录一级无"/>
    <w:basedOn w:val="104"/>
    <w:uiPriority w:val="0"/>
    <w:pPr>
      <w:spacing w:beforeLines="0" w:afterLines="0"/>
    </w:pPr>
    <w:rPr>
      <w:rFonts w:ascii="宋体" w:eastAsia="宋体"/>
      <w:szCs w:val="21"/>
    </w:rPr>
  </w:style>
  <w:style w:type="paragraph" w:customStyle="1" w:styleId="106">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7">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09">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10">
    <w:name w:val="其他标准标志"/>
    <w:basedOn w:val="69"/>
    <w:uiPriority w:val="0"/>
    <w:pPr>
      <w:framePr w:w="6101" w:vAnchor="page" w:hAnchor="page" w:x="4673" w:y="942"/>
    </w:pPr>
    <w:rPr>
      <w:w w:val="130"/>
    </w:rPr>
  </w:style>
  <w:style w:type="paragraph" w:customStyle="1" w:styleId="111">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其他发布部门"/>
    <w:basedOn w:val="76"/>
    <w:uiPriority w:val="0"/>
    <w:pPr>
      <w:framePr w:y="15310"/>
      <w:spacing w:line="0" w:lineRule="atLeast"/>
    </w:pPr>
    <w:rPr>
      <w:rFonts w:ascii="黑体" w:eastAsia="黑体"/>
      <w:b w:val="0"/>
    </w:rPr>
  </w:style>
  <w:style w:type="paragraph" w:customStyle="1" w:styleId="113">
    <w:name w:val="前言、引言标题"/>
    <w:next w:val="27"/>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4">
    <w:name w:val="三级无"/>
    <w:basedOn w:val="54"/>
    <w:uiPriority w:val="0"/>
    <w:pPr>
      <w:spacing w:beforeLines="0" w:afterLines="0"/>
    </w:pPr>
    <w:rPr>
      <w:rFonts w:ascii="宋体" w:eastAsia="宋体"/>
    </w:rPr>
  </w:style>
  <w:style w:type="paragraph" w:customStyle="1" w:styleId="115">
    <w:name w:val="实施日期"/>
    <w:basedOn w:val="77"/>
    <w:uiPriority w:val="0"/>
    <w:pPr>
      <w:framePr w:wrap="around" w:vAnchor="page" w:hAnchor="text" w:y="1"/>
      <w:jc w:val="right"/>
    </w:pPr>
  </w:style>
  <w:style w:type="paragraph" w:customStyle="1" w:styleId="116">
    <w:name w:val="示例后文字"/>
    <w:basedOn w:val="27"/>
    <w:next w:val="27"/>
    <w:qFormat/>
    <w:uiPriority w:val="0"/>
    <w:pPr>
      <w:ind w:firstLine="360"/>
    </w:pPr>
    <w:rPr>
      <w:sz w:val="18"/>
    </w:rPr>
  </w:style>
  <w:style w:type="paragraph" w:customStyle="1" w:styleId="117">
    <w:name w:val="首示例"/>
    <w:next w:val="27"/>
    <w:link w:val="145"/>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paragraph" w:customStyle="1" w:styleId="118">
    <w:name w:val="四级无"/>
    <w:basedOn w:val="58"/>
    <w:uiPriority w:val="0"/>
    <w:pPr>
      <w:spacing w:beforeLines="0" w:afterLines="0"/>
    </w:pPr>
    <w:rPr>
      <w:rFonts w:ascii="宋体" w:eastAsia="宋体"/>
    </w:rPr>
  </w:style>
  <w:style w:type="paragraph" w:customStyle="1" w:styleId="119">
    <w:name w:val="条文脚注"/>
    <w:basedOn w:val="28"/>
    <w:uiPriority w:val="0"/>
    <w:pPr>
      <w:numPr>
        <w:ilvl w:val="0"/>
        <w:numId w:val="0"/>
      </w:numPr>
      <w:jc w:val="both"/>
    </w:pPr>
  </w:style>
  <w:style w:type="paragraph" w:customStyle="1" w:styleId="120">
    <w:name w:val="图标脚注说明"/>
    <w:basedOn w:val="27"/>
    <w:uiPriority w:val="0"/>
    <w:pPr>
      <w:ind w:left="840" w:hanging="420" w:firstLineChars="0"/>
    </w:pPr>
    <w:rPr>
      <w:sz w:val="18"/>
      <w:szCs w:val="18"/>
    </w:rPr>
  </w:style>
  <w:style w:type="paragraph" w:customStyle="1" w:styleId="121">
    <w:name w:val="图表脚注说明"/>
    <w:basedOn w:val="1"/>
    <w:uiPriority w:val="0"/>
    <w:pPr>
      <w:numPr>
        <w:ilvl w:val="0"/>
        <w:numId w:val="15"/>
      </w:numPr>
    </w:pPr>
    <w:rPr>
      <w:rFonts w:ascii="宋体"/>
      <w:sz w:val="18"/>
      <w:szCs w:val="18"/>
    </w:rPr>
  </w:style>
  <w:style w:type="paragraph" w:customStyle="1" w:styleId="122">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文献分类号"/>
    <w:uiPriority w:val="0"/>
    <w:pPr>
      <w:widowControl w:val="0"/>
      <w:textAlignment w:val="center"/>
    </w:pPr>
    <w:rPr>
      <w:rFonts w:ascii="黑体" w:hAnsi="Times New Roman" w:eastAsia="黑体" w:cs="Times New Roman"/>
      <w:sz w:val="21"/>
      <w:szCs w:val="21"/>
      <w:lang w:val="en-US" w:eastAsia="zh-CN" w:bidi="ar-SA"/>
    </w:rPr>
  </w:style>
  <w:style w:type="paragraph" w:customStyle="1" w:styleId="124">
    <w:name w:val="五级无"/>
    <w:basedOn w:val="59"/>
    <w:uiPriority w:val="0"/>
    <w:pPr>
      <w:spacing w:beforeLines="0" w:afterLines="0"/>
    </w:pPr>
    <w:rPr>
      <w:rFonts w:ascii="宋体" w:eastAsia="宋体"/>
    </w:rPr>
  </w:style>
  <w:style w:type="paragraph" w:customStyle="1" w:styleId="125">
    <w:name w:val="一级无"/>
    <w:basedOn w:val="45"/>
    <w:uiPriority w:val="0"/>
    <w:pPr>
      <w:spacing w:beforeLines="0" w:afterLines="0"/>
      <w:ind w:left="0"/>
    </w:pPr>
    <w:rPr>
      <w:rFonts w:ascii="宋体" w:hAnsi="宋体" w:eastAsia="宋体"/>
    </w:rPr>
  </w:style>
  <w:style w:type="paragraph" w:customStyle="1" w:styleId="126">
    <w:name w:val="正文表标题"/>
    <w:next w:val="27"/>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7">
    <w:name w:val="正文公式编号制表符"/>
    <w:basedOn w:val="27"/>
    <w:next w:val="27"/>
    <w:qFormat/>
    <w:uiPriority w:val="0"/>
    <w:pPr>
      <w:ind w:firstLine="0" w:firstLineChars="0"/>
    </w:pPr>
  </w:style>
  <w:style w:type="paragraph" w:customStyle="1" w:styleId="128">
    <w:name w:val="正文图标题"/>
    <w:next w:val="27"/>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9">
    <w:name w:val="终结线"/>
    <w:basedOn w:val="1"/>
    <w:uiPriority w:val="0"/>
    <w:pPr>
      <w:framePr w:hSpace="181" w:vSpace="181" w:wrap="around" w:vAnchor="text" w:hAnchor="margin" w:xAlign="center" w:y="285"/>
    </w:pPr>
  </w:style>
  <w:style w:type="paragraph" w:customStyle="1" w:styleId="130">
    <w:name w:val="其他发布日期"/>
    <w:basedOn w:val="77"/>
    <w:uiPriority w:val="0"/>
    <w:pPr>
      <w:framePr w:wrap="around" w:vAnchor="page" w:hAnchor="text" w:x="1419" w:y="1"/>
    </w:pPr>
  </w:style>
  <w:style w:type="paragraph" w:customStyle="1" w:styleId="131">
    <w:name w:val="其他实施日期"/>
    <w:basedOn w:val="115"/>
    <w:uiPriority w:val="0"/>
    <w:pPr>
      <w:framePr/>
    </w:pPr>
  </w:style>
  <w:style w:type="paragraph" w:customStyle="1" w:styleId="132">
    <w:name w:val="封面标准名称2"/>
    <w:basedOn w:val="80"/>
    <w:uiPriority w:val="0"/>
    <w:pPr>
      <w:framePr w:wrap="around" w:vAnchor="margin" w:hAnchor="text" w:y="4469"/>
      <w:spacing w:beforeLines="630"/>
    </w:pPr>
  </w:style>
  <w:style w:type="paragraph" w:customStyle="1" w:styleId="133">
    <w:name w:val="封面标准英文名称2"/>
    <w:basedOn w:val="81"/>
    <w:uiPriority w:val="0"/>
    <w:pPr>
      <w:framePr w:y="4469"/>
    </w:pPr>
  </w:style>
  <w:style w:type="paragraph" w:customStyle="1" w:styleId="134">
    <w:name w:val="封面一致性程度标识2"/>
    <w:basedOn w:val="82"/>
    <w:uiPriority w:val="0"/>
    <w:pPr>
      <w:framePr w:y="4469"/>
    </w:pPr>
  </w:style>
  <w:style w:type="paragraph" w:customStyle="1" w:styleId="135">
    <w:name w:val="封面标准文稿类别2"/>
    <w:basedOn w:val="83"/>
    <w:uiPriority w:val="0"/>
    <w:pPr>
      <w:framePr w:y="4469"/>
    </w:pPr>
  </w:style>
  <w:style w:type="paragraph" w:customStyle="1" w:styleId="136">
    <w:name w:val="封面标准文稿编辑信息2"/>
    <w:basedOn w:val="84"/>
    <w:uiPriority w:val="0"/>
    <w:pPr>
      <w:framePr w:y="4469"/>
    </w:pPr>
  </w:style>
  <w:style w:type="paragraph" w:customStyle="1" w:styleId="137">
    <w:name w:val="List Paragraph"/>
    <w:basedOn w:val="1"/>
    <w:qFormat/>
    <w:uiPriority w:val="34"/>
    <w:pPr>
      <w:ind w:firstLine="420" w:firstLineChars="200"/>
    </w:pPr>
    <w:rPr>
      <w:rFonts w:ascii="Calibri" w:hAnsi="Calibri" w:eastAsia="宋体" w:cs="黑体"/>
      <w:szCs w:val="22"/>
    </w:rPr>
  </w:style>
  <w:style w:type="paragraph" w:customStyle="1" w:styleId="138">
    <w:name w:val="TOC Heading"/>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139">
    <w:name w:val="a1"/>
    <w:basedOn w:val="1"/>
    <w:uiPriority w:val="0"/>
    <w:pPr>
      <w:widowControl/>
      <w:spacing w:before="100" w:beforeAutospacing="1" w:after="100" w:afterAutospacing="1"/>
      <w:jc w:val="left"/>
    </w:pPr>
    <w:rPr>
      <w:rFonts w:ascii="宋体" w:hAnsi="宋体" w:cs="宋体"/>
      <w:kern w:val="0"/>
      <w:sz w:val="24"/>
    </w:rPr>
  </w:style>
  <w:style w:type="paragraph" w:customStyle="1" w:styleId="140">
    <w:name w:val="Defaul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1">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142">
    <w:name w:val="段 Char"/>
    <w:basedOn w:val="36"/>
    <w:link w:val="27"/>
    <w:uiPriority w:val="0"/>
    <w:rPr>
      <w:rFonts w:ascii="宋体"/>
      <w:sz w:val="21"/>
      <w:lang w:val="en-US" w:eastAsia="zh-CN" w:bidi="ar-SA"/>
    </w:rPr>
  </w:style>
  <w:style w:type="character" w:customStyle="1" w:styleId="143">
    <w:name w:val="发布"/>
    <w:basedOn w:val="36"/>
    <w:uiPriority w:val="0"/>
    <w:rPr>
      <w:rFonts w:ascii="黑体" w:eastAsia="黑体"/>
      <w:spacing w:val="85"/>
      <w:w w:val="100"/>
      <w:position w:val="3"/>
      <w:sz w:val="28"/>
      <w:szCs w:val="28"/>
    </w:rPr>
  </w:style>
  <w:style w:type="character" w:customStyle="1" w:styleId="144">
    <w:name w:val="附录公式 Char"/>
    <w:basedOn w:val="142"/>
    <w:link w:val="92"/>
    <w:uiPriority w:val="0"/>
    <w:rPr>
      <w:rFonts w:ascii="宋体"/>
      <w:sz w:val="21"/>
      <w:lang w:val="en-US" w:eastAsia="zh-CN" w:bidi="ar-SA"/>
    </w:rPr>
  </w:style>
  <w:style w:type="character" w:customStyle="1" w:styleId="145">
    <w:name w:val="首示例 Char"/>
    <w:basedOn w:val="36"/>
    <w:link w:val="117"/>
    <w:uiPriority w:val="0"/>
    <w:rPr>
      <w:rFonts w:ascii="宋体" w:hAnsi="宋体"/>
      <w:kern w:val="2"/>
      <w:sz w:val="18"/>
      <w:szCs w:val="18"/>
    </w:rPr>
  </w:style>
  <w:style w:type="character" w:customStyle="1" w:styleId="146">
    <w:name w:val="纯文本 Char"/>
    <w:basedOn w:val="36"/>
    <w:link w:val="16"/>
    <w:uiPriority w:val="0"/>
    <w:rPr>
      <w:rFonts w:ascii="宋体" w:hAnsi="Courier New"/>
      <w:kern w:val="2"/>
      <w:sz w:val="21"/>
    </w:rPr>
  </w:style>
  <w:style w:type="character" w:customStyle="1" w:styleId="147">
    <w:name w:val="批注框文本 Char"/>
    <w:basedOn w:val="36"/>
    <w:link w:val="20"/>
    <w:uiPriority w:val="0"/>
    <w:rPr>
      <w:kern w:val="2"/>
      <w:sz w:val="18"/>
      <w:szCs w:val="18"/>
    </w:rPr>
  </w:style>
  <w:style w:type="character" w:customStyle="1" w:styleId="148">
    <w:name w:val="页眉 Char"/>
    <w:basedOn w:val="36"/>
    <w:link w:val="22"/>
    <w:uiPriority w:val="99"/>
    <w:rPr>
      <w:kern w:val="2"/>
      <w:sz w:val="18"/>
      <w:szCs w:val="18"/>
    </w:rPr>
  </w:style>
  <w:style w:type="character" w:customStyle="1" w:styleId="149">
    <w:name w:val="标题 1 Char"/>
    <w:basedOn w:val="36"/>
    <w:link w:val="2"/>
    <w:uiPriority w:val="0"/>
    <w:rPr>
      <w:b/>
      <w:bCs/>
      <w:kern w:val="44"/>
      <w:sz w:val="44"/>
      <w:szCs w:val="44"/>
    </w:rPr>
  </w:style>
  <w:style w:type="character" w:customStyle="1" w:styleId="150">
    <w:name w:val="标题 2 Char"/>
    <w:basedOn w:val="36"/>
    <w:link w:val="3"/>
    <w:semiHidden/>
    <w:uiPriority w:val="0"/>
    <w:rPr>
      <w:rFonts w:ascii="Cambria" w:hAnsi="Cambria" w:eastAsia="宋体" w:cs="黑体"/>
      <w:b/>
      <w:bCs/>
      <w:kern w:val="2"/>
      <w:sz w:val="32"/>
      <w:szCs w:val="32"/>
    </w:rPr>
  </w:style>
  <w:style w:type="character" w:customStyle="1" w:styleId="151">
    <w:name w:val="标题 3 Char"/>
    <w:basedOn w:val="36"/>
    <w:link w:val="4"/>
    <w:semiHidden/>
    <w:uiPriority w:val="0"/>
    <w:rPr>
      <w:b/>
      <w:bCs/>
      <w:kern w:val="2"/>
      <w:sz w:val="32"/>
      <w:szCs w:val="32"/>
    </w:rPr>
  </w:style>
  <w:style w:type="character" w:customStyle="1" w:styleId="152">
    <w:name w:val="批注文字 Char"/>
    <w:basedOn w:val="36"/>
    <w:link w:val="6"/>
    <w:uiPriority w:val="0"/>
    <w:rPr>
      <w:kern w:val="2"/>
      <w:sz w:val="21"/>
      <w:szCs w:val="24"/>
    </w:rPr>
  </w:style>
  <w:style w:type="character" w:customStyle="1" w:styleId="153">
    <w:name w:val="批注主题 Char"/>
    <w:basedOn w:val="152"/>
    <w:link w:val="5"/>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06 &#20020;&#26102;&#24037;&#20316;\92 &#26032;&#33021;&#28304;&#23458;&#36710;&#23433;&#20840;&#25216;&#26415;&#26465;&#20214;\&#36807;&#31243;&#31295;\&#26032;&#33021;&#28304;&#23458;&#36710;&#23433;&#20840;&#25216;&#26415;&#26465;&#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新能源客车安全技术条件.dot</Template>
  <Company>zle</Company>
  <Pages>14</Pages>
  <Words>1530</Words>
  <Characters>8721</Characters>
  <Lines>72</Lines>
  <Paragraphs>20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2016-06-03T13:35:00Z</dcterms:created>
  <dc:creator>尹利超</dc:creator>
  <cp:lastModifiedBy>Mengxiangfeng</cp:lastModifiedBy>
  <cp:lastPrinted>2016-05-24T07:09:00Z</cp:lastPrinted>
  <dcterms:modified xsi:type="dcterms:W3CDTF">2016-06-08T00:50:46Z</dcterms:modified>
  <dc:title>标准名称</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