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ms-word.attachedToolbars" PartName="/word/attachedToolbars.bin"/>
  <Override ContentType="application/vnd.ms-word.keyMapCustomizations+xml" PartName="/word/customizations.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Default ContentType="image/jpeg" Extension="jpe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32"/>
        <w:framePr w:h="6917" w:wrap="around" w:vAnchor="margin" w:hAnchor="text" w:yAlign="top"/>
        <w:spacing w:line="360" w:lineRule="auto"/>
        <w:rPr>
          <w:rFonts w:ascii="Times New Roman" w:eastAsia="宋体"/>
        </w:rPr>
      </w:pPr>
    </w:p>
    <w:p>
      <w:pPr>
        <w:spacing w:line="480" w:lineRule="auto"/>
        <w:jc w:val="center"/>
        <w:rPr>
          <w:b/>
          <w:sz w:val="32"/>
          <w:szCs w:val="32"/>
        </w:rPr>
      </w:pPr>
      <w:r>
        <w:rPr>
          <w:rFonts w:hAnsi="宋体"/>
          <w:b/>
          <w:sz w:val="32"/>
          <w:szCs w:val="32"/>
        </w:rPr>
        <w:t>《</w:t>
      </w:r>
      <w:r>
        <w:rPr>
          <w:rFonts w:hint="eastAsia" w:hAnsi="宋体"/>
          <w:b/>
          <w:sz w:val="32"/>
          <w:szCs w:val="32"/>
        </w:rPr>
        <w:t>电动客车安全技术条件</w:t>
      </w:r>
      <w:r>
        <w:rPr>
          <w:rFonts w:hAnsi="宋体"/>
          <w:b/>
          <w:sz w:val="32"/>
          <w:szCs w:val="32"/>
        </w:rPr>
        <w:t>》（</w:t>
      </w:r>
      <w:r>
        <w:rPr>
          <w:rFonts w:hint="eastAsia" w:hAnsi="宋体"/>
          <w:b/>
          <w:sz w:val="32"/>
          <w:szCs w:val="32"/>
        </w:rPr>
        <w:t>征求意见稿</w:t>
      </w:r>
      <w:r>
        <w:rPr>
          <w:rFonts w:hAnsi="宋体"/>
          <w:b/>
          <w:sz w:val="32"/>
          <w:szCs w:val="32"/>
        </w:rPr>
        <w:t>）</w:t>
      </w:r>
    </w:p>
    <w:p>
      <w:pPr>
        <w:spacing w:line="480" w:lineRule="auto"/>
        <w:jc w:val="center"/>
        <w:rPr>
          <w:rFonts w:hAnsi="宋体"/>
          <w:b/>
          <w:sz w:val="32"/>
          <w:szCs w:val="32"/>
        </w:rPr>
      </w:pPr>
      <w:r>
        <w:rPr>
          <w:rFonts w:hAnsi="宋体"/>
          <w:b/>
          <w:sz w:val="32"/>
          <w:szCs w:val="32"/>
        </w:rPr>
        <w:t>编制说明</w:t>
      </w:r>
    </w:p>
    <w:p>
      <w:pPr>
        <w:spacing w:line="720" w:lineRule="auto"/>
        <w:rPr>
          <w:rFonts w:hAnsi="宋体"/>
          <w:b/>
          <w:sz w:val="28"/>
          <w:szCs w:val="28"/>
        </w:rPr>
      </w:pPr>
      <w:r>
        <w:rPr>
          <w:rFonts w:hint="eastAsia" w:hAnsi="宋体"/>
          <w:b/>
          <w:sz w:val="28"/>
          <w:szCs w:val="28"/>
        </w:rPr>
        <w:t>1、</w:t>
      </w:r>
      <w:r>
        <w:rPr>
          <w:rFonts w:hAnsi="宋体"/>
          <w:b/>
          <w:sz w:val="28"/>
          <w:szCs w:val="28"/>
        </w:rPr>
        <w:t>任务来源</w:t>
      </w:r>
    </w:p>
    <w:p>
      <w:pPr>
        <w:spacing w:line="360" w:lineRule="auto"/>
        <w:ind w:firstLine="480" w:firstLineChars="200"/>
        <w:rPr>
          <w:rFonts w:hAnsi="宋体"/>
          <w:sz w:val="24"/>
        </w:rPr>
      </w:pPr>
      <w:r>
        <w:rPr>
          <w:rFonts w:hint="eastAsia" w:hAnsi="宋体"/>
          <w:sz w:val="24"/>
          <w:lang w:eastAsia="zh-CN"/>
        </w:rPr>
        <w:t>党中央、国务院高度重视新能源汽车产业发展。在各方面的共同努力下，近年来，我国电动客车等各类新能源汽车快速发展，推广应用</w:t>
      </w:r>
      <w:r>
        <w:rPr>
          <w:rFonts w:hint="eastAsia" w:hAnsi="宋体"/>
          <w:sz w:val="24"/>
        </w:rPr>
        <w:t>规模</w:t>
      </w:r>
      <w:r>
        <w:rPr>
          <w:rFonts w:hint="eastAsia" w:hAnsi="宋体"/>
          <w:sz w:val="24"/>
          <w:lang w:eastAsia="zh-CN"/>
        </w:rPr>
        <w:t>和范围不断扩大</w:t>
      </w:r>
      <w:r>
        <w:rPr>
          <w:rFonts w:hint="eastAsia" w:hAnsi="宋体"/>
          <w:sz w:val="24"/>
        </w:rPr>
        <w:t>，</w:t>
      </w:r>
      <w:r>
        <w:rPr>
          <w:rFonts w:hint="eastAsia" w:hAnsi="宋体"/>
          <w:sz w:val="24"/>
          <w:lang w:eastAsia="zh-CN"/>
        </w:rPr>
        <w:t>为</w:t>
      </w:r>
      <w:r>
        <w:rPr>
          <w:rFonts w:hint="eastAsia" w:hAnsi="宋体"/>
          <w:sz w:val="24"/>
        </w:rPr>
        <w:t>节能减排做出了</w:t>
      </w:r>
      <w:r>
        <w:rPr>
          <w:rFonts w:hint="eastAsia" w:hAnsi="宋体"/>
          <w:sz w:val="24"/>
          <w:lang w:eastAsia="zh-CN"/>
        </w:rPr>
        <w:t>重要</w:t>
      </w:r>
      <w:r>
        <w:rPr>
          <w:rFonts w:hint="eastAsia" w:hAnsi="宋体"/>
          <w:sz w:val="24"/>
        </w:rPr>
        <w:t>贡献。</w:t>
      </w:r>
    </w:p>
    <w:p>
      <w:pPr>
        <w:spacing w:line="360" w:lineRule="auto"/>
        <w:ind w:firstLine="480" w:firstLineChars="200"/>
        <w:rPr>
          <w:rFonts w:hAnsi="宋体"/>
          <w:sz w:val="24"/>
        </w:rPr>
      </w:pPr>
      <w:r>
        <w:rPr>
          <w:rFonts w:hint="eastAsia" w:hAnsi="宋体"/>
          <w:sz w:val="24"/>
        </w:rPr>
        <w:t>由于</w:t>
      </w:r>
      <w:r>
        <w:rPr>
          <w:rFonts w:hint="eastAsia" w:hAnsi="宋体"/>
          <w:sz w:val="24"/>
          <w:lang w:eastAsia="zh-CN"/>
        </w:rPr>
        <w:t>企业及产品</w:t>
      </w:r>
      <w:r>
        <w:rPr>
          <w:rFonts w:hint="eastAsia" w:hAnsi="宋体"/>
          <w:sz w:val="24"/>
        </w:rPr>
        <w:t>技术水平良莠不齐，</w:t>
      </w:r>
      <w:r>
        <w:rPr>
          <w:rFonts w:hint="eastAsia" w:hAnsi="宋体"/>
          <w:sz w:val="24"/>
          <w:lang w:eastAsia="zh-CN"/>
        </w:rPr>
        <w:t>推广应用过程</w:t>
      </w:r>
      <w:r>
        <w:rPr>
          <w:rFonts w:hint="eastAsia" w:hAnsi="宋体"/>
          <w:sz w:val="24"/>
        </w:rPr>
        <w:t>中出现一些安全风险，引起社会极大关注。为引导和规范我国电动客车产业</w:t>
      </w:r>
      <w:r>
        <w:rPr>
          <w:rFonts w:hint="eastAsia" w:hAnsi="宋体"/>
          <w:sz w:val="24"/>
          <w:lang w:eastAsia="zh-CN"/>
        </w:rPr>
        <w:t>健康可持续</w:t>
      </w:r>
      <w:r>
        <w:rPr>
          <w:rFonts w:hint="eastAsia" w:hAnsi="宋体"/>
          <w:sz w:val="24"/>
        </w:rPr>
        <w:t>发展，提高电动客车安全技术水平，建设符合电动客车特点的整车</w:t>
      </w:r>
      <w:r>
        <w:rPr>
          <w:rFonts w:hint="eastAsia" w:hAnsi="宋体"/>
          <w:sz w:val="24"/>
          <w:lang w:eastAsia="zh-CN"/>
        </w:rPr>
        <w:t>、</w:t>
      </w:r>
      <w:r>
        <w:rPr>
          <w:rFonts w:hint="eastAsia" w:hAnsi="宋体"/>
          <w:sz w:val="24"/>
        </w:rPr>
        <w:t>电池、电机、高压线束等系统的安全条件及测试评价标准体系，</w:t>
      </w:r>
      <w:r>
        <w:rPr>
          <w:rFonts w:hint="eastAsia" w:hAnsi="宋体"/>
          <w:sz w:val="24"/>
          <w:lang w:eastAsia="zh-CN"/>
        </w:rPr>
        <w:t>工业和信息化部组织行业组织、有关企业、高校、检测机构等单位组织编制组，起草编制了</w:t>
      </w:r>
      <w:r>
        <w:rPr>
          <w:rFonts w:hint="eastAsia" w:hAnsi="宋体"/>
          <w:sz w:val="24"/>
        </w:rPr>
        <w:t>《电动客车安全技术条件》。</w:t>
      </w:r>
    </w:p>
    <w:p>
      <w:pPr>
        <w:spacing w:line="720" w:lineRule="auto"/>
        <w:rPr>
          <w:rFonts w:hAnsi="宋体"/>
          <w:b/>
          <w:sz w:val="28"/>
          <w:szCs w:val="28"/>
        </w:rPr>
      </w:pPr>
      <w:r>
        <w:rPr>
          <w:rFonts w:hint="eastAsia" w:hAnsi="宋体"/>
          <w:b/>
          <w:sz w:val="28"/>
          <w:szCs w:val="28"/>
        </w:rPr>
        <w:t>2、目的和意义</w:t>
      </w:r>
    </w:p>
    <w:p>
      <w:pPr>
        <w:spacing w:line="360" w:lineRule="auto"/>
        <w:ind w:firstLine="480" w:firstLineChars="200"/>
        <w:rPr>
          <w:rFonts w:hAnsi="宋体"/>
          <w:sz w:val="24"/>
        </w:rPr>
      </w:pPr>
      <w:r>
        <w:rPr>
          <w:rFonts w:hint="eastAsia" w:hAnsi="宋体"/>
          <w:sz w:val="24"/>
        </w:rPr>
        <w:t>电动客车的安全应作为首要考虑因素，然而电动客车由于安装了电池、电机、高压线束等特殊部件，并且市场上厂家技术水平良莠不齐，在发展过程中出现了很多安全问题，严重影响了电动客车的行业发展。由于技术要求不完善，发生安全事故后，往往发生触电、起火等严重问题，轻则造成财产损失，如果撤离不及时，可能还会带来人员伤亡。</w:t>
      </w:r>
    </w:p>
    <w:p>
      <w:pPr>
        <w:spacing w:line="360" w:lineRule="auto"/>
        <w:ind w:firstLine="480" w:firstLineChars="200"/>
        <w:rPr>
          <w:rFonts w:hAnsi="宋体"/>
          <w:sz w:val="24"/>
        </w:rPr>
      </w:pPr>
      <w:r>
        <w:rPr>
          <w:rFonts w:hint="eastAsia" w:hAnsi="宋体"/>
          <w:sz w:val="24"/>
        </w:rPr>
        <w:t>本《电动客车安全技术条件》针对电动客车由于安装了电池、电机、高压线束等特殊部件而带来的安全问题，从人员触电、火灾防护、事故处理、乘客逃生、整车结构、远程监控等方面综合考虑，在充分借鉴现有传统客车、电动汽车相关标准和已有的上海、北京等地方标准的基础上，提出更高的技术要求，以提升行业安全技术水平。</w:t>
      </w:r>
    </w:p>
    <w:p>
      <w:pPr>
        <w:spacing w:line="720" w:lineRule="auto"/>
        <w:rPr>
          <w:rFonts w:hAnsi="宋体"/>
          <w:b/>
          <w:sz w:val="28"/>
          <w:szCs w:val="28"/>
        </w:rPr>
      </w:pPr>
      <w:r>
        <w:rPr>
          <w:rFonts w:hint="eastAsia" w:hAnsi="宋体"/>
          <w:b/>
          <w:sz w:val="28"/>
          <w:szCs w:val="28"/>
        </w:rPr>
        <w:t>3、编写过程</w:t>
      </w:r>
    </w:p>
    <w:p>
      <w:pPr>
        <w:spacing w:line="360" w:lineRule="auto"/>
        <w:ind w:firstLine="480" w:firstLineChars="200"/>
        <w:rPr>
          <w:rFonts w:hAnsi="宋体"/>
          <w:sz w:val="24"/>
        </w:rPr>
      </w:pPr>
      <w:r>
        <w:rPr>
          <w:rFonts w:hAnsi="宋体"/>
          <w:sz w:val="24"/>
        </w:rPr>
        <w:t>201</w:t>
      </w:r>
      <w:r>
        <w:rPr>
          <w:rFonts w:hint="eastAsia" w:hAnsi="宋体"/>
          <w:sz w:val="24"/>
        </w:rPr>
        <w:t>6</w:t>
      </w:r>
      <w:r>
        <w:rPr>
          <w:rFonts w:hAnsi="宋体"/>
          <w:sz w:val="24"/>
        </w:rPr>
        <w:t>年</w:t>
      </w:r>
      <w:r>
        <w:rPr>
          <w:rFonts w:hint="eastAsia" w:hAnsi="宋体"/>
          <w:sz w:val="24"/>
        </w:rPr>
        <w:t>4月组成制定工作组</w:t>
      </w:r>
      <w:r>
        <w:rPr>
          <w:rFonts w:hint="eastAsia" w:hAnsi="宋体"/>
          <w:sz w:val="24"/>
          <w:lang w:eastAsia="zh-CN"/>
        </w:rPr>
        <w:t>，主要</w:t>
      </w:r>
      <w:r>
        <w:rPr>
          <w:rFonts w:hint="eastAsia" w:hAnsi="宋体"/>
          <w:sz w:val="24"/>
        </w:rPr>
        <w:t>参加单位</w:t>
      </w:r>
      <w:r>
        <w:rPr>
          <w:rFonts w:hint="eastAsia" w:hAnsi="宋体"/>
          <w:sz w:val="24"/>
          <w:lang w:eastAsia="zh-CN"/>
        </w:rPr>
        <w:t>有</w:t>
      </w:r>
      <w:r>
        <w:rPr>
          <w:rFonts w:hint="eastAsia" w:hAnsi="宋体"/>
          <w:sz w:val="24"/>
        </w:rPr>
        <w:t>：郑州宇通客车股份有限公司、中国汽车技术研究中心、中国汽车工业协会、中机车辆技术服务中心、北京理工大学、清华大学、中国北方车辆研究所、中国电子科技集团公司第十八研究所、中国科学院物理研究所、国联汽车动力电池研究院有限责任公司、宁德时代新能源科技股份有限公司</w:t>
      </w:r>
      <w:r>
        <w:rPr>
          <w:rFonts w:hint="eastAsia" w:hAnsi="宋体"/>
          <w:sz w:val="24"/>
          <w:lang w:eastAsia="zh-CN"/>
        </w:rPr>
        <w:t>等</w:t>
      </w:r>
      <w:r>
        <w:rPr>
          <w:rFonts w:hint="eastAsia" w:hAnsi="宋体"/>
          <w:sz w:val="24"/>
        </w:rPr>
        <w:t>。</w:t>
      </w:r>
    </w:p>
    <w:p>
      <w:pPr>
        <w:spacing w:line="360" w:lineRule="auto"/>
        <w:ind w:firstLine="602" w:firstLineChars="250"/>
        <w:rPr>
          <w:rFonts w:hAnsi="宋体"/>
          <w:sz w:val="24"/>
        </w:rPr>
      </w:pPr>
      <w:r>
        <w:rPr>
          <w:rFonts w:hint="eastAsia" w:hAnsi="宋体"/>
          <w:b/>
          <w:sz w:val="24"/>
        </w:rPr>
        <w:t xml:space="preserve">1） </w:t>
      </w:r>
      <w:r>
        <w:rPr>
          <w:rFonts w:hint="eastAsia" w:hAnsi="宋体"/>
          <w:sz w:val="24"/>
        </w:rPr>
        <w:t>2016年5月</w:t>
      </w:r>
      <w:r>
        <w:rPr>
          <w:rFonts w:hAnsi="宋体"/>
          <w:sz w:val="24"/>
        </w:rPr>
        <w:t>，</w:t>
      </w:r>
      <w:r>
        <w:rPr>
          <w:rFonts w:hint="eastAsia" w:hAnsi="宋体"/>
          <w:sz w:val="24"/>
        </w:rPr>
        <w:t>制定工作组在进行大量调查总结的基础上编制</w:t>
      </w:r>
      <w:r>
        <w:rPr>
          <w:rFonts w:hAnsi="宋体"/>
          <w:sz w:val="24"/>
        </w:rPr>
        <w:t>完成</w:t>
      </w:r>
      <w:r>
        <w:rPr>
          <w:rFonts w:hint="eastAsia" w:hAnsi="宋体"/>
          <w:sz w:val="24"/>
        </w:rPr>
        <w:t>了《电动客车安全技术条件》的草案初稿，并向工作组内部成员单位及专家征求意见，根据回复意见，《电动客车安全技术条件》制定工作组共同对条件草案初稿进行修改与完善，形成草案稿。</w:t>
      </w:r>
    </w:p>
    <w:p>
      <w:pPr>
        <w:spacing w:line="360" w:lineRule="auto"/>
        <w:ind w:firstLine="602" w:firstLineChars="250"/>
        <w:rPr>
          <w:rFonts w:hAnsi="宋体"/>
          <w:sz w:val="24"/>
        </w:rPr>
      </w:pPr>
      <w:r>
        <w:rPr>
          <w:rFonts w:hint="eastAsia" w:hAnsi="宋体"/>
          <w:b/>
          <w:sz w:val="24"/>
        </w:rPr>
        <w:t xml:space="preserve">2） </w:t>
      </w:r>
      <w:bookmarkStart w:id="0" w:name="_Toc387734104"/>
      <w:r>
        <w:rPr>
          <w:rFonts w:hint="eastAsia" w:hAnsi="宋体"/>
          <w:sz w:val="24"/>
        </w:rPr>
        <w:t>2016年5月20日，《电动客车安全技术条件》制定工作组第一次会议在北京市中国科技会堂召开。来自工业和信息化部</w:t>
      </w:r>
      <w:r>
        <w:rPr>
          <w:rFonts w:hint="eastAsia" w:hAnsi="宋体"/>
          <w:sz w:val="24"/>
          <w:lang w:eastAsia="zh-CN"/>
        </w:rPr>
        <w:t>装备工业司和编制组的</w:t>
      </w:r>
      <w:r>
        <w:rPr>
          <w:rFonts w:hint="eastAsia" w:hAnsi="宋体"/>
          <w:sz w:val="24"/>
        </w:rPr>
        <w:t>2</w:t>
      </w:r>
      <w:r>
        <w:rPr>
          <w:rFonts w:hint="eastAsia" w:hAnsi="宋体"/>
          <w:sz w:val="24"/>
          <w:lang w:val="en-US" w:eastAsia="zh-CN"/>
        </w:rPr>
        <w:t>0余</w:t>
      </w:r>
      <w:r>
        <w:rPr>
          <w:rFonts w:hint="eastAsia" w:hAnsi="宋体"/>
          <w:sz w:val="24"/>
        </w:rPr>
        <w:t>位</w:t>
      </w:r>
      <w:r>
        <w:rPr>
          <w:rFonts w:hint="eastAsia" w:hAnsi="宋体"/>
          <w:sz w:val="24"/>
          <w:lang w:eastAsia="zh-CN"/>
        </w:rPr>
        <w:t>代表</w:t>
      </w:r>
      <w:r>
        <w:rPr>
          <w:rFonts w:hint="eastAsia" w:hAnsi="宋体"/>
          <w:sz w:val="24"/>
        </w:rPr>
        <w:t>参加了会议。</w:t>
      </w:r>
    </w:p>
    <w:p>
      <w:pPr>
        <w:spacing w:line="360" w:lineRule="auto"/>
        <w:ind w:firstLine="480" w:firstLineChars="200"/>
        <w:rPr>
          <w:rFonts w:hAnsi="宋体"/>
          <w:sz w:val="24"/>
        </w:rPr>
      </w:pPr>
      <w:r>
        <w:rPr>
          <w:rFonts w:hint="eastAsia" w:hAnsi="宋体"/>
          <w:sz w:val="24"/>
        </w:rPr>
        <w:t>制定工作组介绍了《电动客车安全技术条件（草案稿）》的编制过程和内容的确定依据，并对单体蓄电池热失控、蓄电池包热失控扩展、碰撞安全、涉水安全的试验验证情况进行了说明。随后，与会专家对《电动客车安全技术条件（草案稿）》的框架结构和内容进行了逐条审议，对文件的结构和内容达成一致修改意见。</w:t>
      </w:r>
    </w:p>
    <w:p>
      <w:pPr>
        <w:spacing w:line="360" w:lineRule="auto"/>
        <w:ind w:firstLine="480" w:firstLineChars="200"/>
        <w:rPr>
          <w:rFonts w:ascii="宋体" w:hAnsi="宋体"/>
          <w:sz w:val="24"/>
        </w:rPr>
      </w:pPr>
      <w:r>
        <w:rPr>
          <w:rFonts w:hint="eastAsia" w:hAnsi="宋体"/>
          <w:sz w:val="24"/>
          <w:lang w:val="en-US" w:eastAsia="zh-CN"/>
        </w:rPr>
        <w:t>3）</w:t>
      </w:r>
      <w:r>
        <w:rPr>
          <w:rFonts w:hint="eastAsia" w:hAnsi="宋体"/>
          <w:sz w:val="24"/>
        </w:rPr>
        <w:t>制定工作组根据专家意见对草案稿进行修改，形成《电动客车安全技术条件（征求意见稿）》初稿，于2016年5月28日向工作组内部成员单位及专家征求意见，根据回复意见，《电动客车安全技术条件》制定工作组对征求意见稿初稿进行修改与完善，形成征求意见稿。</w:t>
      </w:r>
    </w:p>
    <w:p>
      <w:pPr>
        <w:spacing w:line="720" w:lineRule="auto"/>
        <w:rPr>
          <w:rFonts w:hAnsi="宋体"/>
          <w:b/>
          <w:sz w:val="28"/>
          <w:szCs w:val="28"/>
        </w:rPr>
      </w:pPr>
      <w:r>
        <w:rPr>
          <w:rFonts w:hint="eastAsia" w:hAnsi="宋体"/>
          <w:b/>
          <w:sz w:val="28"/>
          <w:szCs w:val="28"/>
          <w:lang w:val="en-US" w:eastAsia="zh-CN"/>
        </w:rPr>
        <w:t>4</w:t>
      </w:r>
      <w:r>
        <w:rPr>
          <w:rFonts w:hint="eastAsia" w:hAnsi="宋体"/>
          <w:b/>
          <w:sz w:val="28"/>
          <w:szCs w:val="28"/>
        </w:rPr>
        <w:t>、编制原则</w:t>
      </w:r>
    </w:p>
    <w:p>
      <w:pPr>
        <w:snapToGrid w:val="0"/>
        <w:spacing w:line="360" w:lineRule="auto"/>
        <w:ind w:firstLine="480" w:firstLineChars="200"/>
        <w:rPr>
          <w:rFonts w:ascii="宋体" w:hAnsi="宋体"/>
          <w:sz w:val="24"/>
          <w:szCs w:val="21"/>
        </w:rPr>
      </w:pPr>
      <w:r>
        <w:rPr>
          <w:rFonts w:hint="eastAsia" w:ascii="宋体" w:hAnsi="宋体"/>
          <w:sz w:val="24"/>
          <w:szCs w:val="21"/>
        </w:rPr>
        <w:t>条件按照GB/T 1.1-2009《标准化工作导则 第1部分：标准的结构和编写》的规则编写。条件</w:t>
      </w:r>
      <w:r>
        <w:rPr>
          <w:rFonts w:ascii="宋体" w:hAnsi="宋体"/>
          <w:sz w:val="24"/>
          <w:szCs w:val="21"/>
        </w:rPr>
        <w:t>的制定</w:t>
      </w:r>
      <w:r>
        <w:rPr>
          <w:rFonts w:hint="eastAsia" w:ascii="宋体" w:hAnsi="宋体"/>
          <w:sz w:val="24"/>
          <w:szCs w:val="21"/>
        </w:rPr>
        <w:t>考</w:t>
      </w:r>
      <w:r>
        <w:rPr>
          <w:rFonts w:ascii="宋体" w:hAnsi="宋体"/>
          <w:sz w:val="24"/>
          <w:szCs w:val="21"/>
        </w:rPr>
        <w:t>虑</w:t>
      </w:r>
      <w:r>
        <w:rPr>
          <w:rFonts w:hint="eastAsia" w:ascii="宋体" w:hAnsi="宋体"/>
          <w:sz w:val="24"/>
          <w:szCs w:val="21"/>
        </w:rPr>
        <w:t>了</w:t>
      </w:r>
      <w:r>
        <w:rPr>
          <w:rFonts w:ascii="宋体" w:hAnsi="宋体"/>
          <w:sz w:val="24"/>
          <w:szCs w:val="21"/>
        </w:rPr>
        <w:t>相关标准、法规间的相互协调，</w:t>
      </w:r>
      <w:r>
        <w:rPr>
          <w:rFonts w:hint="eastAsia" w:ascii="宋体" w:hAnsi="宋体"/>
          <w:sz w:val="24"/>
          <w:szCs w:val="21"/>
        </w:rPr>
        <w:t>尽量避免同一要素在不同文本中重复规定，对国内已有相关标准规定或可以列入相关标准中的内容，一般不纳入本标准。此标准中规定的技术要求即要有先进性又要有成熟性，还要便于推广。对于不成熟的技术应做为后期的技术研究，待该项技术成熟时适时修订标准。</w:t>
      </w:r>
    </w:p>
    <w:p>
      <w:pPr>
        <w:snapToGrid w:val="0"/>
        <w:spacing w:line="360" w:lineRule="auto"/>
        <w:ind w:firstLine="480" w:firstLineChars="200"/>
        <w:rPr>
          <w:rFonts w:ascii="宋体" w:hAnsi="宋体"/>
          <w:sz w:val="24"/>
          <w:szCs w:val="21"/>
        </w:rPr>
      </w:pPr>
      <w:r>
        <w:rPr>
          <w:rFonts w:hint="eastAsia" w:ascii="宋体" w:hAnsi="宋体"/>
          <w:sz w:val="24"/>
          <w:szCs w:val="21"/>
        </w:rPr>
        <w:t>条件中规定的技术内容应具备一定的牵引性同时兼顾</w:t>
      </w:r>
      <w:r>
        <w:rPr>
          <w:rFonts w:ascii="宋体" w:hAnsi="宋体"/>
          <w:sz w:val="24"/>
          <w:szCs w:val="21"/>
        </w:rPr>
        <w:t>行业的技术现状</w:t>
      </w:r>
      <w:r>
        <w:rPr>
          <w:rFonts w:hint="eastAsia" w:ascii="宋体" w:hAnsi="宋体"/>
          <w:sz w:val="24"/>
          <w:szCs w:val="21"/>
        </w:rPr>
        <w:t>，条件的技术内容确定要适合我国国情，标准的技术要求应明确，避免模糊的表述，尽可能提出定量的要求，并有相应的检验方法。</w:t>
      </w:r>
    </w:p>
    <w:bookmarkEnd w:id="0"/>
    <w:p>
      <w:pPr>
        <w:spacing w:line="720" w:lineRule="auto"/>
        <w:rPr>
          <w:rFonts w:hAnsi="宋体"/>
          <w:b/>
          <w:sz w:val="28"/>
          <w:szCs w:val="28"/>
        </w:rPr>
      </w:pPr>
      <w:bookmarkStart w:id="1" w:name="_Toc387734107"/>
      <w:r>
        <w:rPr>
          <w:rFonts w:hint="eastAsia" w:hAnsi="宋体"/>
          <w:b/>
          <w:sz w:val="28"/>
          <w:szCs w:val="28"/>
          <w:lang w:val="en-US" w:eastAsia="zh-CN"/>
        </w:rPr>
        <w:t>5</w:t>
      </w:r>
      <w:r>
        <w:rPr>
          <w:rFonts w:hint="eastAsia" w:hAnsi="宋体"/>
          <w:b/>
          <w:sz w:val="28"/>
          <w:szCs w:val="28"/>
        </w:rPr>
        <w:t>、</w:t>
      </w:r>
      <w:bookmarkStart w:id="2" w:name="_Toc387734078"/>
      <w:r>
        <w:rPr>
          <w:rFonts w:hint="eastAsia" w:hAnsi="宋体"/>
          <w:b/>
          <w:sz w:val="28"/>
          <w:szCs w:val="28"/>
        </w:rPr>
        <w:t>主要内容</w:t>
      </w:r>
      <w:r>
        <w:rPr>
          <w:rFonts w:hint="eastAsia" w:hAnsi="宋体"/>
          <w:b/>
          <w:sz w:val="28"/>
          <w:szCs w:val="28"/>
          <w:lang w:eastAsia="zh-CN"/>
        </w:rPr>
        <w:t>及</w:t>
      </w:r>
      <w:r>
        <w:rPr>
          <w:rFonts w:hint="eastAsia" w:hAnsi="宋体"/>
          <w:b/>
          <w:sz w:val="28"/>
          <w:szCs w:val="28"/>
        </w:rPr>
        <w:t>论据</w:t>
      </w:r>
    </w:p>
    <w:p>
      <w:pPr>
        <w:spacing w:line="720" w:lineRule="auto"/>
        <w:rPr>
          <w:rFonts w:ascii="黑体" w:eastAsia="黑体"/>
          <w:sz w:val="24"/>
        </w:rPr>
      </w:pPr>
      <w:r>
        <w:rPr>
          <w:rFonts w:hint="eastAsia" w:ascii="黑体" w:eastAsia="黑体"/>
          <w:sz w:val="24"/>
          <w:lang w:val="en-US" w:eastAsia="zh-CN"/>
        </w:rPr>
        <w:t>5</w:t>
      </w:r>
      <w:r>
        <w:rPr>
          <w:rFonts w:hint="eastAsia" w:ascii="黑体" w:eastAsia="黑体"/>
          <w:sz w:val="24"/>
        </w:rPr>
        <w:t>.1</w:t>
      </w:r>
      <w:r>
        <w:rPr>
          <w:rFonts w:ascii="黑体" w:eastAsia="黑体"/>
          <w:sz w:val="24"/>
        </w:rPr>
        <w:t xml:space="preserve"> </w:t>
      </w:r>
      <w:bookmarkEnd w:id="2"/>
      <w:r>
        <w:rPr>
          <w:rFonts w:hint="eastAsia" w:ascii="黑体" w:eastAsia="黑体"/>
          <w:sz w:val="24"/>
        </w:rPr>
        <w:t>条件</w:t>
      </w:r>
      <w:r>
        <w:rPr>
          <w:rFonts w:ascii="黑体" w:eastAsia="黑体"/>
          <w:sz w:val="24"/>
        </w:rPr>
        <w:t>的范围</w:t>
      </w:r>
    </w:p>
    <w:p>
      <w:pPr>
        <w:snapToGrid w:val="0"/>
        <w:spacing w:line="360" w:lineRule="auto"/>
        <w:ind w:firstLine="480" w:firstLineChars="200"/>
        <w:rPr>
          <w:rFonts w:ascii="宋体" w:hAnsi="宋体"/>
          <w:i/>
          <w:sz w:val="24"/>
          <w:szCs w:val="21"/>
        </w:rPr>
      </w:pPr>
      <w:r>
        <w:rPr>
          <w:rFonts w:hint="eastAsia" w:ascii="宋体" w:hAnsi="宋体"/>
          <w:i/>
          <w:sz w:val="24"/>
          <w:szCs w:val="21"/>
        </w:rPr>
        <w:t>本文件规定了电动客车的安全技术要求和试验方法。</w:t>
      </w:r>
    </w:p>
    <w:p>
      <w:pPr>
        <w:snapToGrid w:val="0"/>
        <w:spacing w:line="360" w:lineRule="auto"/>
        <w:ind w:firstLine="480" w:firstLineChars="200"/>
        <w:rPr>
          <w:rFonts w:ascii="宋体" w:hAnsi="宋体"/>
          <w:i/>
          <w:sz w:val="24"/>
          <w:szCs w:val="21"/>
        </w:rPr>
      </w:pPr>
      <w:r>
        <w:rPr>
          <w:rFonts w:hint="eastAsia" w:ascii="宋体" w:hAnsi="宋体"/>
          <w:i/>
          <w:sz w:val="24"/>
          <w:szCs w:val="21"/>
        </w:rPr>
        <w:t>本文件适用于车长大于等于6m的单层电动客车，包括纯电动客车、混合动力客车（含插电式混合动力客车）、燃料电池电动客车。</w:t>
      </w:r>
    </w:p>
    <w:p>
      <w:pPr>
        <w:spacing w:line="720" w:lineRule="auto"/>
        <w:rPr>
          <w:rFonts w:ascii="黑体" w:eastAsia="黑体"/>
          <w:sz w:val="24"/>
        </w:rPr>
      </w:pPr>
      <w:r>
        <w:rPr>
          <w:rFonts w:hint="eastAsia" w:ascii="黑体" w:eastAsia="黑体"/>
          <w:sz w:val="24"/>
          <w:lang w:val="en-US" w:eastAsia="zh-CN"/>
        </w:rPr>
        <w:t>5</w:t>
      </w:r>
      <w:r>
        <w:rPr>
          <w:rFonts w:hint="eastAsia" w:ascii="黑体" w:eastAsia="黑体"/>
          <w:sz w:val="24"/>
        </w:rPr>
        <w:t>.2 术语及定义</w:t>
      </w:r>
    </w:p>
    <w:p>
      <w:pPr>
        <w:snapToGrid w:val="0"/>
        <w:spacing w:line="360" w:lineRule="auto"/>
        <w:ind w:firstLine="480" w:firstLineChars="200"/>
        <w:rPr>
          <w:rFonts w:cs="宋体"/>
          <w:sz w:val="24"/>
          <w:szCs w:val="21"/>
          <w:lang w:val="zh-CN"/>
        </w:rPr>
      </w:pPr>
      <w:r>
        <w:rPr>
          <w:rFonts w:hint="eastAsia" w:ascii="宋体" w:hAnsi="宋体"/>
          <w:sz w:val="24"/>
          <w:szCs w:val="21"/>
        </w:rPr>
        <w:t>“3.1 热失控”和“3.2 热失控扩展”为本文件定义的术语。</w:t>
      </w:r>
      <w:r>
        <w:rPr>
          <w:rFonts w:hint="eastAsia" w:cs="宋体"/>
          <w:sz w:val="24"/>
          <w:szCs w:val="21"/>
          <w:lang w:val="zh-CN"/>
        </w:rPr>
        <w:t xml:space="preserve"> </w:t>
      </w:r>
    </w:p>
    <w:p>
      <w:pPr>
        <w:pStyle w:val="27"/>
        <w:spacing w:line="360" w:lineRule="auto"/>
        <w:ind w:right="8" w:rightChars="4" w:firstLine="0" w:firstLineChars="0"/>
        <w:rPr>
          <w:rFonts w:cs="宋体"/>
          <w:sz w:val="24"/>
          <w:szCs w:val="21"/>
          <w:lang w:val="zh-CN"/>
        </w:rPr>
      </w:pPr>
      <w:r>
        <w:rPr>
          <w:rFonts w:hint="eastAsia" w:ascii="黑体" w:hAnsi="黑体" w:eastAsia="黑体" w:cs="宋体"/>
          <w:sz w:val="24"/>
          <w:szCs w:val="21"/>
          <w:lang w:val="en-US" w:eastAsia="zh-CN"/>
        </w:rPr>
        <w:t>5</w:t>
      </w:r>
      <w:r>
        <w:rPr>
          <w:rFonts w:hint="eastAsia" w:ascii="黑体" w:hAnsi="黑体" w:eastAsia="黑体" w:cs="宋体"/>
          <w:sz w:val="24"/>
          <w:szCs w:val="21"/>
          <w:lang w:val="zh-CN"/>
        </w:rPr>
        <w:t>.2.1 热失控</w:t>
      </w:r>
      <w:r>
        <w:rPr>
          <w:rFonts w:hint="eastAsia" w:cs="宋体"/>
          <w:sz w:val="24"/>
          <w:szCs w:val="21"/>
          <w:lang w:val="zh-CN"/>
        </w:rPr>
        <w:t xml:space="preserve"> </w:t>
      </w:r>
      <w:bookmarkEnd w:id="1"/>
      <w:r>
        <w:rPr>
          <w:rFonts w:ascii="Times New Roman" w:eastAsia="黑体"/>
        </w:rPr>
        <w:t>thermal runaway</w:t>
      </w:r>
    </w:p>
    <w:p>
      <w:pPr>
        <w:pStyle w:val="27"/>
        <w:spacing w:line="360" w:lineRule="auto"/>
        <w:ind w:right="8" w:rightChars="4" w:firstLine="480"/>
        <w:rPr>
          <w:rFonts w:hAnsi="宋体"/>
          <w:kern w:val="2"/>
          <w:sz w:val="24"/>
          <w:szCs w:val="21"/>
        </w:rPr>
      </w:pPr>
      <w:bookmarkStart w:id="3" w:name="OLE_LINK1"/>
      <w:r>
        <w:rPr>
          <w:rFonts w:hint="eastAsia" w:hAnsi="宋体"/>
          <w:i/>
          <w:kern w:val="2"/>
          <w:sz w:val="24"/>
          <w:szCs w:val="21"/>
        </w:rPr>
        <w:t>单体蓄电池放热连锁反应引起电池自温升速率急剧变化的过热、起火、爆炸现象</w:t>
      </w:r>
      <w:r>
        <w:rPr>
          <w:rFonts w:hint="eastAsia" w:hAnsi="宋体"/>
          <w:kern w:val="2"/>
          <w:sz w:val="24"/>
          <w:szCs w:val="21"/>
        </w:rPr>
        <w:t>。</w:t>
      </w:r>
    </w:p>
    <w:p>
      <w:pPr>
        <w:pStyle w:val="27"/>
        <w:spacing w:line="360" w:lineRule="auto"/>
        <w:ind w:right="8" w:rightChars="4" w:firstLine="480"/>
        <w:rPr>
          <w:rFonts w:hAnsi="宋体"/>
          <w:kern w:val="2"/>
          <w:sz w:val="24"/>
          <w:szCs w:val="21"/>
        </w:rPr>
      </w:pPr>
      <w:r>
        <w:rPr>
          <w:rFonts w:hint="eastAsia" w:hAnsi="宋体"/>
          <w:kern w:val="2"/>
          <w:sz w:val="24"/>
          <w:szCs w:val="21"/>
        </w:rPr>
        <w:t>说明：</w:t>
      </w:r>
    </w:p>
    <w:p>
      <w:pPr>
        <w:pStyle w:val="27"/>
        <w:spacing w:line="360" w:lineRule="auto"/>
        <w:ind w:right="8" w:rightChars="4" w:firstLine="0" w:firstLineChars="0"/>
        <w:rPr>
          <w:rFonts w:hAnsi="宋体"/>
          <w:kern w:val="2"/>
          <w:sz w:val="24"/>
          <w:szCs w:val="21"/>
        </w:rPr>
      </w:pPr>
      <w:r>
        <w:rPr>
          <w:rFonts w:hint="eastAsia" w:hAnsi="宋体"/>
          <w:kern w:val="2"/>
          <w:sz w:val="24"/>
          <w:szCs w:val="21"/>
        </w:rPr>
        <w:t>a）对热失控进行了定义，当电池热失控时会瞬间释放出大量的热量，并产生剧烈的温升。</w:t>
      </w:r>
    </w:p>
    <w:p>
      <w:pPr>
        <w:pStyle w:val="27"/>
        <w:spacing w:line="360" w:lineRule="auto"/>
        <w:ind w:right="8" w:rightChars="4" w:firstLine="0" w:firstLineChars="0"/>
        <w:rPr>
          <w:rFonts w:hAnsi="宋体"/>
          <w:kern w:val="2"/>
          <w:sz w:val="24"/>
          <w:szCs w:val="21"/>
        </w:rPr>
      </w:pPr>
      <w:r>
        <w:rPr>
          <w:rFonts w:hint="eastAsia" w:hAnsi="宋体"/>
          <w:kern w:val="2"/>
          <w:sz w:val="24"/>
          <w:szCs w:val="21"/>
        </w:rPr>
        <w:t>b）蓄电池热失控并不意味着一定会发生起火、爆炸现象，但是其自</w:t>
      </w:r>
      <w:r>
        <w:rPr>
          <w:rFonts w:hAnsi="宋体"/>
          <w:kern w:val="2"/>
          <w:sz w:val="24"/>
          <w:szCs w:val="21"/>
        </w:rPr>
        <w:t>温升速率</w:t>
      </w:r>
      <w:r>
        <w:rPr>
          <w:rFonts w:hint="eastAsia" w:hAnsi="宋体"/>
          <w:kern w:val="2"/>
          <w:sz w:val="24"/>
          <w:szCs w:val="21"/>
        </w:rPr>
        <w:t>应达到一个数量级。</w:t>
      </w:r>
    </w:p>
    <w:bookmarkEnd w:id="3"/>
    <w:p>
      <w:pPr>
        <w:pStyle w:val="27"/>
        <w:spacing w:line="360" w:lineRule="auto"/>
        <w:ind w:firstLine="0" w:firstLineChars="0"/>
        <w:rPr>
          <w:rFonts w:cs="宋体"/>
          <w:sz w:val="24"/>
          <w:szCs w:val="21"/>
        </w:rPr>
      </w:pPr>
      <w:r>
        <w:rPr>
          <w:rFonts w:hint="eastAsia" w:ascii="黑体" w:hAnsi="黑体" w:eastAsia="黑体" w:cs="宋体"/>
          <w:sz w:val="24"/>
          <w:szCs w:val="21"/>
          <w:lang w:val="en-US" w:eastAsia="zh-CN"/>
        </w:rPr>
        <w:t>5</w:t>
      </w:r>
      <w:r>
        <w:rPr>
          <w:rFonts w:hint="eastAsia" w:ascii="黑体" w:hAnsi="黑体" w:eastAsia="黑体" w:cs="宋体"/>
          <w:sz w:val="24"/>
          <w:szCs w:val="21"/>
        </w:rPr>
        <w:t>.2.2</w:t>
      </w:r>
      <w:r>
        <w:rPr>
          <w:rFonts w:hint="eastAsia" w:ascii="黑体" w:eastAsia="黑体"/>
          <w:sz w:val="24"/>
        </w:rPr>
        <w:t xml:space="preserve">热失控扩展  </w:t>
      </w:r>
      <w:r>
        <w:rPr>
          <w:rFonts w:hint="eastAsia" w:ascii="Times New Roman" w:eastAsia="黑体"/>
        </w:rPr>
        <w:t>thermal runaway propagation</w:t>
      </w:r>
    </w:p>
    <w:p>
      <w:pPr>
        <w:pStyle w:val="27"/>
        <w:spacing w:line="360" w:lineRule="auto"/>
        <w:ind w:right="8" w:rightChars="4" w:firstLine="480"/>
        <w:rPr>
          <w:rFonts w:hAnsi="宋体"/>
          <w:i/>
          <w:kern w:val="2"/>
          <w:sz w:val="24"/>
          <w:szCs w:val="21"/>
        </w:rPr>
      </w:pPr>
      <w:r>
        <w:rPr>
          <w:rFonts w:hint="eastAsia" w:hAnsi="宋体"/>
          <w:i/>
          <w:kern w:val="2"/>
          <w:sz w:val="24"/>
          <w:szCs w:val="21"/>
        </w:rPr>
        <w:t>蓄电池包或系统内部的单体蓄电池或单体蓄电池单元热失控，并触发该蓄电池系统中相邻或其他部位蓄电池的热失控的现象。</w:t>
      </w:r>
    </w:p>
    <w:p>
      <w:pPr>
        <w:pStyle w:val="27"/>
        <w:spacing w:line="360" w:lineRule="auto"/>
        <w:ind w:right="8" w:rightChars="4" w:firstLine="480"/>
        <w:rPr>
          <w:rFonts w:hAnsi="宋体"/>
          <w:kern w:val="2"/>
          <w:sz w:val="24"/>
          <w:szCs w:val="24"/>
        </w:rPr>
      </w:pPr>
      <w:r>
        <w:rPr>
          <w:rFonts w:hint="eastAsia" w:hAnsi="宋体"/>
          <w:kern w:val="2"/>
          <w:sz w:val="24"/>
          <w:szCs w:val="24"/>
        </w:rPr>
        <w:t>说明：为避免因单体蓄电池的热失控引发相邻电池甚至整个电池包的热失控，对乘客造成伤害，确保乘客和行车安全。</w:t>
      </w:r>
    </w:p>
    <w:p>
      <w:pPr>
        <w:numPr>
          <w:numId w:val="0"/>
        </w:numPr>
        <w:spacing w:line="720" w:lineRule="auto"/>
        <w:ind w:leftChars="0"/>
        <w:rPr>
          <w:rFonts w:ascii="黑体" w:eastAsia="黑体"/>
          <w:sz w:val="24"/>
        </w:rPr>
      </w:pPr>
      <w:r>
        <w:rPr>
          <w:rFonts w:hint="eastAsia" w:ascii="黑体" w:eastAsia="黑体"/>
          <w:sz w:val="24"/>
          <w:lang w:val="en-US" w:eastAsia="zh-CN"/>
        </w:rPr>
        <w:t>5.3</w:t>
      </w:r>
      <w:r>
        <w:rPr>
          <w:rFonts w:hint="eastAsia" w:ascii="黑体" w:eastAsia="黑体"/>
          <w:sz w:val="24"/>
        </w:rPr>
        <w:t>技术要求和试验方法</w:t>
      </w:r>
    </w:p>
    <w:p>
      <w:pPr>
        <w:widowControl/>
        <w:numPr>
          <w:numId w:val="0"/>
        </w:numPr>
        <w:tabs>
          <w:tab w:val="left" w:pos="360"/>
        </w:tabs>
        <w:spacing w:line="720" w:lineRule="auto"/>
        <w:ind w:left="1" w:leftChars="0"/>
        <w:jc w:val="left"/>
        <w:outlineLvl w:val="3"/>
        <w:rPr>
          <w:rFonts w:ascii="黑体" w:eastAsia="黑体"/>
          <w:sz w:val="24"/>
        </w:rPr>
      </w:pPr>
      <w:r>
        <w:rPr>
          <w:rFonts w:hint="eastAsia" w:ascii="黑体" w:eastAsia="黑体"/>
          <w:sz w:val="24"/>
          <w:lang w:val="en-US" w:eastAsia="zh-CN"/>
        </w:rPr>
        <w:t>5.3.1</w:t>
      </w:r>
      <w:bookmarkStart w:id="39" w:name="_GoBack"/>
      <w:bookmarkEnd w:id="39"/>
      <w:r>
        <w:rPr>
          <w:rFonts w:hint="eastAsia" w:ascii="黑体" w:eastAsia="黑体"/>
          <w:sz w:val="24"/>
        </w:rPr>
        <w:t>总则</w:t>
      </w:r>
    </w:p>
    <w:p>
      <w:pPr>
        <w:widowControl/>
        <w:numPr>
          <w:numId w:val="0"/>
        </w:numPr>
        <w:tabs>
          <w:tab w:val="left" w:pos="360"/>
        </w:tabs>
        <w:spacing w:line="360" w:lineRule="auto"/>
        <w:ind w:leftChars="0"/>
        <w:jc w:val="left"/>
        <w:outlineLvl w:val="3"/>
        <w:rPr>
          <w:rFonts w:ascii="宋体" w:hAnsi="宋体" w:eastAsia="宋体"/>
          <w:i/>
          <w:sz w:val="24"/>
        </w:rPr>
      </w:pPr>
      <w:r>
        <w:rPr>
          <w:rFonts w:hint="eastAsia" w:ascii="宋体" w:hAnsi="宋体" w:eastAsia="宋体"/>
          <w:i/>
          <w:sz w:val="24"/>
        </w:rPr>
        <w:t>电动客车应符合相关的国家机动车强制性标准的要求，还应符合本文件的要求。</w:t>
      </w:r>
    </w:p>
    <w:p>
      <w:pPr>
        <w:widowControl/>
        <w:numPr>
          <w:numId w:val="0"/>
        </w:numPr>
        <w:tabs>
          <w:tab w:val="left" w:pos="360"/>
        </w:tabs>
        <w:spacing w:line="360" w:lineRule="auto"/>
        <w:ind w:leftChars="0"/>
        <w:jc w:val="left"/>
        <w:outlineLvl w:val="3"/>
        <w:rPr>
          <w:rFonts w:ascii="宋体" w:hAnsi="宋体" w:eastAsia="宋体"/>
          <w:i/>
          <w:sz w:val="24"/>
        </w:rPr>
      </w:pPr>
      <w:r>
        <w:rPr>
          <w:rFonts w:hint="eastAsia" w:ascii="宋体" w:hAnsi="宋体" w:eastAsia="宋体"/>
          <w:i/>
          <w:sz w:val="24"/>
        </w:rPr>
        <w:t>其它设计安装要求参照附录A。</w:t>
      </w:r>
    </w:p>
    <w:p>
      <w:pPr>
        <w:spacing w:line="360" w:lineRule="auto"/>
        <w:ind w:firstLine="480" w:firstLineChars="200"/>
        <w:rPr>
          <w:rFonts w:hAnsi="宋体"/>
          <w:sz w:val="24"/>
        </w:rPr>
      </w:pPr>
      <w:r>
        <w:rPr>
          <w:rFonts w:hint="eastAsia" w:hAnsi="宋体"/>
          <w:sz w:val="24"/>
        </w:rPr>
        <w:t>说明：</w:t>
      </w:r>
    </w:p>
    <w:p>
      <w:pPr>
        <w:pStyle w:val="46"/>
        <w:numPr>
          <w:ilvl w:val="0"/>
          <w:numId w:val="9"/>
        </w:numPr>
        <w:spacing w:line="360" w:lineRule="auto"/>
        <w:ind w:left="357" w:hanging="357" w:firstLineChars="0"/>
        <w:rPr>
          <w:rFonts w:hAnsi="宋体"/>
          <w:sz w:val="24"/>
        </w:rPr>
      </w:pPr>
      <w:r>
        <w:rPr>
          <w:rFonts w:hint="eastAsia" w:hAnsi="宋体"/>
          <w:sz w:val="24"/>
        </w:rPr>
        <w:t>该条内容用于明确本文件与其他标准之间的关系；</w:t>
      </w:r>
    </w:p>
    <w:p>
      <w:pPr>
        <w:pStyle w:val="46"/>
        <w:numPr>
          <w:ilvl w:val="0"/>
          <w:numId w:val="9"/>
        </w:numPr>
        <w:spacing w:line="360" w:lineRule="auto"/>
        <w:ind w:left="357" w:hanging="357" w:firstLineChars="0"/>
        <w:rPr>
          <w:rFonts w:hAnsi="宋体"/>
          <w:sz w:val="24"/>
        </w:rPr>
      </w:pPr>
      <w:r>
        <w:rPr>
          <w:rFonts w:hint="eastAsia" w:hAnsi="宋体"/>
          <w:sz w:val="24"/>
        </w:rPr>
        <w:t>对于一些不易测量但影响安全的项目作为资料性附录，供企业参考。</w:t>
      </w:r>
    </w:p>
    <w:p>
      <w:pPr>
        <w:widowControl/>
        <w:numPr>
          <w:numId w:val="0"/>
        </w:numPr>
        <w:tabs>
          <w:tab w:val="left" w:pos="360"/>
        </w:tabs>
        <w:spacing w:line="720" w:lineRule="auto"/>
        <w:ind w:left="1" w:leftChars="0"/>
        <w:jc w:val="left"/>
        <w:outlineLvl w:val="3"/>
        <w:rPr>
          <w:rFonts w:ascii="黑体" w:eastAsia="黑体"/>
          <w:sz w:val="24"/>
        </w:rPr>
      </w:pPr>
      <w:bookmarkStart w:id="4" w:name="_Toc451860873"/>
      <w:bookmarkStart w:id="5" w:name="_Toc451281161"/>
      <w:r>
        <w:rPr>
          <w:rFonts w:hint="eastAsia" w:ascii="黑体" w:eastAsia="黑体"/>
          <w:sz w:val="24"/>
          <w:lang w:val="en-US" w:eastAsia="zh-CN"/>
        </w:rPr>
        <w:t>5.3.2</w:t>
      </w:r>
      <w:r>
        <w:rPr>
          <w:rFonts w:hint="eastAsia" w:ascii="黑体" w:eastAsia="黑体"/>
          <w:sz w:val="24"/>
        </w:rPr>
        <w:t>防水</w:t>
      </w:r>
      <w:bookmarkEnd w:id="4"/>
      <w:r>
        <w:rPr>
          <w:rFonts w:hint="eastAsia" w:ascii="黑体" w:eastAsia="黑体"/>
          <w:sz w:val="24"/>
        </w:rPr>
        <w:t>防尘性能</w:t>
      </w:r>
    </w:p>
    <w:p>
      <w:pPr>
        <w:widowControl/>
        <w:numPr>
          <w:numId w:val="0"/>
        </w:numPr>
        <w:tabs>
          <w:tab w:val="left" w:pos="360"/>
        </w:tabs>
        <w:spacing w:line="360" w:lineRule="auto"/>
        <w:ind w:leftChars="0"/>
        <w:jc w:val="left"/>
        <w:outlineLvl w:val="3"/>
        <w:rPr>
          <w:rFonts w:ascii="宋体" w:hAnsi="宋体" w:eastAsia="宋体"/>
          <w:i/>
          <w:sz w:val="24"/>
        </w:rPr>
      </w:pPr>
      <w:r>
        <w:rPr>
          <w:rFonts w:hint="eastAsia" w:ascii="宋体" w:hAnsi="宋体"/>
          <w:i/>
          <w:sz w:val="24"/>
          <w:lang w:val="en-US" w:eastAsia="zh-CN"/>
        </w:rPr>
        <w:t>5.3.2.1</w:t>
      </w:r>
      <w:r>
        <w:rPr>
          <w:rFonts w:hint="eastAsia" w:ascii="宋体" w:hAnsi="宋体" w:eastAsia="宋体"/>
          <w:i/>
          <w:sz w:val="24"/>
        </w:rPr>
        <w:t>车辆应以小于等于10km/h的车速匀速通过水深大于等于300mm的涉水水池，且涉水距离应大于等于300m，完成涉水试验，时间约为2min，若水池长度不足300m，需要进行多次，总时间（包括水池外的时间）应少于10min。</w:t>
      </w:r>
    </w:p>
    <w:p>
      <w:pPr>
        <w:widowControl/>
        <w:numPr>
          <w:numId w:val="0"/>
        </w:numPr>
        <w:tabs>
          <w:tab w:val="left" w:pos="360"/>
        </w:tabs>
        <w:spacing w:line="360" w:lineRule="auto"/>
        <w:ind w:leftChars="0"/>
        <w:jc w:val="left"/>
        <w:outlineLvl w:val="3"/>
        <w:rPr>
          <w:rFonts w:ascii="宋体" w:hAnsi="宋体" w:eastAsia="宋体"/>
          <w:i/>
          <w:sz w:val="24"/>
        </w:rPr>
      </w:pPr>
      <w:r>
        <w:rPr>
          <w:rFonts w:hint="eastAsia" w:ascii="宋体" w:hAnsi="宋体"/>
          <w:i/>
          <w:sz w:val="24"/>
          <w:lang w:val="en-US" w:eastAsia="zh-CN"/>
        </w:rPr>
        <w:t>5.3.2.2</w:t>
      </w:r>
      <w:r>
        <w:rPr>
          <w:rFonts w:hint="eastAsia" w:ascii="宋体" w:hAnsi="宋体" w:eastAsia="宋体"/>
          <w:i/>
          <w:sz w:val="24"/>
        </w:rPr>
        <w:t>车辆涉水试验完成后10min内，按照GB/T 18384.3—2015中7.2的绝缘电阻测量方法完成测量，总绝缘电阻值应大于3MΩ</w:t>
      </w:r>
    </w:p>
    <w:p>
      <w:pPr>
        <w:widowControl/>
        <w:numPr>
          <w:numId w:val="0"/>
        </w:numPr>
        <w:tabs>
          <w:tab w:val="left" w:pos="360"/>
        </w:tabs>
        <w:spacing w:line="360" w:lineRule="auto"/>
        <w:ind w:leftChars="0"/>
        <w:jc w:val="left"/>
        <w:outlineLvl w:val="3"/>
        <w:rPr>
          <w:rFonts w:ascii="宋体" w:hAnsi="宋体" w:eastAsia="宋体"/>
          <w:i/>
          <w:sz w:val="24"/>
        </w:rPr>
      </w:pPr>
      <w:r>
        <w:rPr>
          <w:rFonts w:hint="eastAsia" w:ascii="宋体" w:hAnsi="宋体"/>
          <w:i/>
          <w:sz w:val="24"/>
          <w:lang w:val="en-US" w:eastAsia="zh-CN"/>
        </w:rPr>
        <w:t>5.3.2.3</w:t>
      </w:r>
      <w:r>
        <w:rPr>
          <w:rFonts w:hint="eastAsia" w:ascii="宋体" w:hAnsi="宋体" w:eastAsia="宋体"/>
          <w:i/>
          <w:sz w:val="24"/>
        </w:rPr>
        <w:t>以下部件的防护等级应不低于IP67：</w:t>
      </w:r>
    </w:p>
    <w:p>
      <w:pPr>
        <w:pStyle w:val="47"/>
        <w:spacing w:line="360" w:lineRule="auto"/>
        <w:ind w:left="1259"/>
        <w:rPr>
          <w:rFonts w:ascii="宋体" w:hAnsi="宋体" w:eastAsia="宋体"/>
          <w:i/>
          <w:sz w:val="24"/>
          <w:szCs w:val="24"/>
        </w:rPr>
      </w:pPr>
      <w:r>
        <w:rPr>
          <w:rFonts w:hint="eastAsia" w:ascii="宋体" w:hAnsi="宋体" w:eastAsia="宋体"/>
          <w:i/>
          <w:sz w:val="24"/>
          <w:szCs w:val="24"/>
        </w:rPr>
        <w:t>与B级电压部件相连的连接器；</w:t>
      </w:r>
    </w:p>
    <w:p>
      <w:pPr>
        <w:pStyle w:val="47"/>
        <w:spacing w:line="360" w:lineRule="auto"/>
        <w:ind w:left="1259"/>
        <w:rPr>
          <w:rFonts w:ascii="宋体" w:hAnsi="宋体" w:eastAsia="宋体"/>
          <w:i/>
          <w:sz w:val="24"/>
          <w:szCs w:val="24"/>
        </w:rPr>
      </w:pPr>
      <w:r>
        <w:rPr>
          <w:rFonts w:hint="eastAsia" w:ascii="宋体" w:hAnsi="宋体" w:eastAsia="宋体"/>
          <w:i/>
          <w:sz w:val="24"/>
          <w:szCs w:val="24"/>
        </w:rPr>
        <w:t>安装在车厢地板以下的B级电压电气设备；</w:t>
      </w:r>
    </w:p>
    <w:p>
      <w:pPr>
        <w:pStyle w:val="47"/>
        <w:spacing w:line="360" w:lineRule="auto"/>
        <w:ind w:left="1259"/>
        <w:rPr>
          <w:rFonts w:ascii="宋体" w:hAnsi="宋体" w:eastAsia="宋体"/>
          <w:i/>
          <w:sz w:val="24"/>
          <w:szCs w:val="24"/>
        </w:rPr>
      </w:pPr>
      <w:r>
        <w:rPr>
          <w:rFonts w:hint="eastAsia" w:ascii="宋体" w:hAnsi="宋体" w:eastAsia="宋体"/>
          <w:i/>
          <w:sz w:val="24"/>
          <w:szCs w:val="24"/>
        </w:rPr>
        <w:t>安装在车顶且无防护装置的B级电压电气设备。</w:t>
      </w:r>
    </w:p>
    <w:p>
      <w:pPr>
        <w:pStyle w:val="50"/>
        <w:widowControl/>
        <w:tabs>
          <w:tab w:val="left" w:pos="360"/>
        </w:tabs>
        <w:wordWrap/>
        <w:adjustRightInd/>
        <w:snapToGrid/>
        <w:spacing w:before="0" w:after="0" w:line="360" w:lineRule="auto"/>
        <w:ind w:left="510" w:leftChars="0" w:right="0" w:firstLine="480" w:firstLineChars="200"/>
        <w:jc w:val="left"/>
        <w:textAlignment w:val="auto"/>
        <w:outlineLvl w:val="4"/>
      </w:pPr>
      <w:r>
        <w:rPr>
          <w:rFonts w:hint="eastAsia"/>
        </w:rPr>
        <w:t>说明：</w:t>
      </w:r>
    </w:p>
    <w:p>
      <w:pPr>
        <w:pStyle w:val="50"/>
        <w:widowControl/>
        <w:tabs>
          <w:tab w:val="left" w:pos="360"/>
        </w:tabs>
        <w:wordWrap/>
        <w:adjustRightInd/>
        <w:snapToGrid/>
        <w:spacing w:before="0" w:after="0" w:line="360" w:lineRule="auto"/>
        <w:ind w:left="510" w:leftChars="0" w:right="0" w:firstLine="480" w:firstLineChars="200"/>
        <w:jc w:val="left"/>
        <w:textAlignment w:val="auto"/>
        <w:outlineLvl w:val="4"/>
      </w:pPr>
      <w:r>
        <w:rPr>
          <w:rFonts w:hint="eastAsia"/>
        </w:rPr>
        <w:t>a）整车涉水试验条件，试验后绝缘电阻的要求作出明确的要求，提高了技术要求；</w:t>
      </w:r>
    </w:p>
    <w:p>
      <w:pPr>
        <w:pStyle w:val="50"/>
        <w:widowControl/>
        <w:tabs>
          <w:tab w:val="left" w:pos="360"/>
        </w:tabs>
        <w:wordWrap/>
        <w:adjustRightInd/>
        <w:snapToGrid/>
        <w:spacing w:before="0" w:after="0" w:line="360" w:lineRule="auto"/>
        <w:ind w:left="510" w:leftChars="0" w:right="0" w:firstLine="480" w:firstLineChars="200"/>
        <w:jc w:val="left"/>
        <w:textAlignment w:val="auto"/>
        <w:outlineLvl w:val="4"/>
      </w:pPr>
      <w:r>
        <w:rPr>
          <w:rFonts w:hint="eastAsia"/>
        </w:rPr>
        <w:t>b）各种条件下的绝缘电阻相比国标进行加严，通过对各种条件下绝缘电阻要求，确保司乘人员和车辆的安全。当人体通过0.6mA的电流，会引起人体麻刺的感觉，需将泄露电流控制在0.6mA以下，按照GB/T 18384中规定的B级电压最高值计算，再考虑设计余量，故总绝缘阻值设置为3MΩ。</w:t>
      </w:r>
    </w:p>
    <w:p>
      <w:pPr>
        <w:pStyle w:val="50"/>
        <w:widowControl/>
        <w:tabs>
          <w:tab w:val="left" w:pos="360"/>
        </w:tabs>
        <w:wordWrap/>
        <w:adjustRightInd/>
        <w:snapToGrid/>
        <w:spacing w:before="0" w:after="0" w:line="360" w:lineRule="auto"/>
        <w:ind w:left="510" w:leftChars="0" w:right="0" w:firstLine="480" w:firstLineChars="200"/>
        <w:jc w:val="left"/>
        <w:textAlignment w:val="auto"/>
        <w:outlineLvl w:val="4"/>
      </w:pPr>
      <w:r>
        <w:rPr>
          <w:rFonts w:hint="eastAsia"/>
        </w:rPr>
        <w:t>c）对B级电压部件的防护等级做出明确要求，满足防水的需求。</w:t>
      </w:r>
    </w:p>
    <w:p>
      <w:pPr>
        <w:widowControl/>
        <w:numPr>
          <w:numId w:val="0"/>
        </w:numPr>
        <w:tabs>
          <w:tab w:val="left" w:pos="360"/>
        </w:tabs>
        <w:spacing w:line="720" w:lineRule="auto"/>
        <w:ind w:left="1" w:leftChars="0"/>
        <w:jc w:val="left"/>
        <w:outlineLvl w:val="3"/>
        <w:rPr>
          <w:rFonts w:ascii="黑体" w:eastAsia="黑体"/>
          <w:sz w:val="24"/>
        </w:rPr>
      </w:pPr>
      <w:r>
        <w:rPr>
          <w:rFonts w:hint="eastAsia" w:ascii="黑体" w:eastAsia="黑体"/>
          <w:sz w:val="24"/>
          <w:lang w:val="en-US" w:eastAsia="zh-CN"/>
        </w:rPr>
        <w:t>5.3.3</w:t>
      </w:r>
      <w:r>
        <w:rPr>
          <w:rFonts w:hint="eastAsia" w:ascii="黑体" w:eastAsia="黑体"/>
          <w:sz w:val="24"/>
        </w:rPr>
        <w:t>防火</w:t>
      </w:r>
      <w:bookmarkEnd w:id="5"/>
      <w:r>
        <w:rPr>
          <w:rFonts w:hint="eastAsia" w:ascii="黑体" w:eastAsia="黑体"/>
          <w:sz w:val="24"/>
        </w:rPr>
        <w:t>性能</w:t>
      </w:r>
    </w:p>
    <w:p>
      <w:pPr>
        <w:widowControl/>
        <w:numPr>
          <w:numId w:val="0"/>
        </w:numPr>
        <w:tabs>
          <w:tab w:val="left" w:pos="360"/>
        </w:tabs>
        <w:spacing w:line="360" w:lineRule="auto"/>
        <w:ind w:leftChars="0"/>
        <w:jc w:val="left"/>
        <w:outlineLvl w:val="3"/>
        <w:rPr>
          <w:rFonts w:ascii="宋体" w:hAnsi="宋体"/>
          <w:i/>
          <w:sz w:val="24"/>
        </w:rPr>
      </w:pPr>
      <w:r>
        <w:rPr>
          <w:rFonts w:hint="eastAsia" w:ascii="宋体" w:hAnsi="宋体"/>
          <w:i/>
          <w:sz w:val="24"/>
          <w:lang w:val="en-US" w:eastAsia="zh-CN"/>
        </w:rPr>
        <w:t>5.3.3.1</w:t>
      </w:r>
      <w:r>
        <w:rPr>
          <w:rFonts w:hint="eastAsia" w:ascii="宋体" w:hAnsi="宋体"/>
          <w:i/>
          <w:sz w:val="24"/>
        </w:rPr>
        <w:t>车身内饰材料的阻燃性能按</w:t>
      </w:r>
      <w:r>
        <w:rPr>
          <w:rFonts w:ascii="宋体" w:hAnsi="宋体"/>
          <w:i/>
          <w:sz w:val="24"/>
        </w:rPr>
        <w:t xml:space="preserve"> GB 8410—2006 </w:t>
      </w:r>
      <w:r>
        <w:rPr>
          <w:rFonts w:hint="eastAsia" w:ascii="宋体" w:hAnsi="宋体"/>
          <w:i/>
          <w:sz w:val="24"/>
        </w:rPr>
        <w:t>的方法试验，其水平燃烧速度应小于等于50mm/min。</w:t>
      </w:r>
    </w:p>
    <w:p>
      <w:pPr>
        <w:pStyle w:val="42"/>
        <w:numPr>
          <w:ilvl w:val="4"/>
          <w:numId w:val="0"/>
        </w:numPr>
        <w:spacing w:line="360" w:lineRule="auto"/>
        <w:ind w:firstLine="480" w:firstLineChars="200"/>
        <w:rPr>
          <w:rFonts w:cs="宋体"/>
          <w:sz w:val="24"/>
          <w:lang w:val="zh-CN"/>
        </w:rPr>
      </w:pPr>
      <w:r>
        <w:rPr>
          <w:rFonts w:hint="eastAsia" w:cs="宋体"/>
          <w:sz w:val="24"/>
          <w:lang w:val="zh-CN"/>
        </w:rPr>
        <w:t>说明：</w:t>
      </w:r>
    </w:p>
    <w:p>
      <w:pPr>
        <w:pStyle w:val="42"/>
        <w:numPr>
          <w:ilvl w:val="0"/>
          <w:numId w:val="10"/>
        </w:numPr>
        <w:spacing w:line="360" w:lineRule="auto"/>
        <w:rPr>
          <w:rFonts w:ascii="宋体"/>
          <w:kern w:val="0"/>
          <w:sz w:val="24"/>
        </w:rPr>
      </w:pPr>
      <w:r>
        <w:rPr>
          <w:rFonts w:hint="eastAsia" w:ascii="宋体"/>
          <w:kern w:val="0"/>
          <w:sz w:val="24"/>
        </w:rPr>
        <w:t>普通客车阻燃特性要求70mm/min；</w:t>
      </w:r>
    </w:p>
    <w:p>
      <w:pPr>
        <w:pStyle w:val="42"/>
        <w:numPr>
          <w:ilvl w:val="0"/>
          <w:numId w:val="10"/>
        </w:numPr>
        <w:spacing w:line="360" w:lineRule="auto"/>
        <w:rPr>
          <w:rFonts w:ascii="宋体" w:hAnsi="宋体"/>
          <w:sz w:val="24"/>
        </w:rPr>
      </w:pPr>
      <w:r>
        <w:rPr>
          <w:rFonts w:hint="eastAsia" w:ascii="宋体"/>
          <w:kern w:val="0"/>
          <w:sz w:val="24"/>
        </w:rPr>
        <w:t>本文件对内饰材料的阻燃特性50mm/min，提高了阻燃特性要求。</w:t>
      </w:r>
    </w:p>
    <w:p>
      <w:pPr>
        <w:widowControl/>
        <w:numPr>
          <w:numId w:val="0"/>
        </w:numPr>
        <w:tabs>
          <w:tab w:val="left" w:pos="360"/>
        </w:tabs>
        <w:spacing w:line="360" w:lineRule="auto"/>
        <w:ind w:leftChars="0"/>
        <w:jc w:val="left"/>
        <w:outlineLvl w:val="3"/>
        <w:rPr>
          <w:rFonts w:ascii="宋体" w:hAnsi="宋体"/>
          <w:i/>
          <w:sz w:val="24"/>
        </w:rPr>
      </w:pPr>
      <w:r>
        <w:rPr>
          <w:rFonts w:hint="eastAsia" w:ascii="宋体" w:hAnsi="宋体"/>
          <w:i/>
          <w:sz w:val="24"/>
          <w:lang w:val="en-US" w:eastAsia="zh-CN"/>
        </w:rPr>
        <w:t xml:space="preserve">5.3.3.2 </w:t>
      </w:r>
      <w:r>
        <w:rPr>
          <w:rFonts w:hint="eastAsia" w:ascii="宋体" w:hAnsi="宋体"/>
          <w:i/>
          <w:sz w:val="24"/>
        </w:rPr>
        <w:t>B级电压部件所用绝缘材料的阻燃性能应符合GB/T 2408—2008规定的水平燃烧HB级，垂直燃烧V—0级。B级电压电缆防护用波纹管及热收缩双壁管的温度等级应不低于125℃，热收缩双壁管的性能应符合QC/T 29106—2014中附录B的要求,波纹管的性能应符合QC/T 29106—2014中附录D的要求。</w:t>
      </w:r>
    </w:p>
    <w:p>
      <w:pPr>
        <w:pStyle w:val="42"/>
        <w:numPr>
          <w:ilvl w:val="4"/>
          <w:numId w:val="0"/>
        </w:numPr>
        <w:spacing w:line="360" w:lineRule="auto"/>
        <w:ind w:firstLine="480" w:firstLineChars="200"/>
        <w:rPr>
          <w:rFonts w:cs="宋体"/>
          <w:sz w:val="24"/>
          <w:lang w:val="zh-CN"/>
        </w:rPr>
      </w:pPr>
      <w:r>
        <w:rPr>
          <w:rFonts w:hint="eastAsia" w:cs="宋体"/>
          <w:sz w:val="24"/>
          <w:lang w:val="zh-CN"/>
        </w:rPr>
        <w:t>说明：</w:t>
      </w:r>
    </w:p>
    <w:p>
      <w:pPr>
        <w:pStyle w:val="42"/>
        <w:numPr>
          <w:ilvl w:val="0"/>
          <w:numId w:val="11"/>
        </w:numPr>
        <w:spacing w:line="360" w:lineRule="auto"/>
        <w:rPr>
          <w:sz w:val="24"/>
        </w:rPr>
      </w:pPr>
      <w:r>
        <w:rPr>
          <w:rFonts w:hint="eastAsia"/>
          <w:sz w:val="24"/>
        </w:rPr>
        <w:t>对车辆B级电压部件使用的绝缘材料提出了阻燃等级要求。</w:t>
      </w:r>
    </w:p>
    <w:p>
      <w:pPr>
        <w:pStyle w:val="42"/>
        <w:numPr>
          <w:ilvl w:val="0"/>
          <w:numId w:val="11"/>
        </w:numPr>
        <w:spacing w:line="360" w:lineRule="auto"/>
        <w:rPr>
          <w:sz w:val="24"/>
        </w:rPr>
      </w:pPr>
      <w:r>
        <w:rPr>
          <w:rFonts w:hint="eastAsia"/>
          <w:sz w:val="24"/>
        </w:rPr>
        <w:t>对B级电压电缆防护用的波纹管及热收缩双壁管的温度等级提出了要求。</w:t>
      </w:r>
    </w:p>
    <w:p>
      <w:pPr>
        <w:pStyle w:val="42"/>
        <w:numPr>
          <w:ilvl w:val="0"/>
          <w:numId w:val="11"/>
        </w:numPr>
        <w:spacing w:line="360" w:lineRule="auto"/>
        <w:rPr>
          <w:sz w:val="24"/>
        </w:rPr>
      </w:pPr>
      <w:r>
        <w:rPr>
          <w:rFonts w:hint="eastAsia"/>
          <w:sz w:val="24"/>
        </w:rPr>
        <w:t>对材料的性能进行了规定。</w:t>
      </w:r>
    </w:p>
    <w:p>
      <w:pPr>
        <w:widowControl/>
        <w:numPr>
          <w:numId w:val="0"/>
        </w:numPr>
        <w:tabs>
          <w:tab w:val="left" w:pos="360"/>
        </w:tabs>
        <w:spacing w:line="360" w:lineRule="auto"/>
        <w:ind w:leftChars="0"/>
        <w:jc w:val="left"/>
        <w:outlineLvl w:val="3"/>
        <w:rPr>
          <w:rFonts w:ascii="宋体" w:hAnsi="宋体"/>
          <w:sz w:val="24"/>
        </w:rPr>
      </w:pPr>
      <w:r>
        <w:rPr>
          <w:rFonts w:hint="eastAsia" w:ascii="宋体" w:hAnsi="宋体"/>
          <w:i/>
          <w:sz w:val="24"/>
          <w:lang w:val="en-US" w:eastAsia="zh-CN"/>
        </w:rPr>
        <w:t xml:space="preserve">5.3.3.3 </w:t>
      </w:r>
      <w:r>
        <w:rPr>
          <w:rFonts w:hint="eastAsia" w:ascii="宋体" w:hAnsi="宋体"/>
          <w:i/>
          <w:sz w:val="24"/>
        </w:rPr>
        <w:t>可充电储能系统内应使用阻燃材料，阻燃材料的阻燃等级应达到GB/T 2408—2008表1规定的V—0级。可充电储能系统安装舱体与乘客舱之间应使用阻燃隔热材料隔离，阻燃隔热材料的燃烧性能应符合GB/T 8624-2012中表1规定的B1级，并且按GB/T 10297-2008进行试验，在300℃时导热系数应小于等于0.04W/（m•K）</w:t>
      </w:r>
      <w:r>
        <w:rPr>
          <w:rFonts w:hint="eastAsia" w:ascii="宋体" w:hAnsi="宋体"/>
          <w:sz w:val="24"/>
        </w:rPr>
        <w:t>。</w:t>
      </w:r>
    </w:p>
    <w:p>
      <w:pPr>
        <w:pStyle w:val="46"/>
        <w:spacing w:line="360" w:lineRule="auto"/>
        <w:ind w:firstLine="480"/>
        <w:rPr>
          <w:rFonts w:cs="宋体"/>
          <w:sz w:val="24"/>
          <w:lang w:val="zh-CN"/>
        </w:rPr>
      </w:pPr>
      <w:r>
        <w:rPr>
          <w:rFonts w:hint="eastAsia" w:cs="宋体"/>
          <w:sz w:val="24"/>
          <w:lang w:val="zh-CN"/>
        </w:rPr>
        <w:t>说明：</w:t>
      </w:r>
    </w:p>
    <w:p>
      <w:pPr>
        <w:pStyle w:val="46"/>
        <w:numPr>
          <w:ilvl w:val="0"/>
          <w:numId w:val="12"/>
        </w:numPr>
        <w:spacing w:line="360" w:lineRule="auto"/>
        <w:ind w:firstLineChars="0"/>
        <w:rPr>
          <w:rFonts w:ascii="宋体" w:hAnsi="宋体"/>
          <w:sz w:val="24"/>
        </w:rPr>
      </w:pPr>
      <w:r>
        <w:rPr>
          <w:rFonts w:hint="eastAsia"/>
          <w:sz w:val="24"/>
        </w:rPr>
        <w:t>对可充电储能系统内部材料提出了增加阻燃性能的要求；</w:t>
      </w:r>
    </w:p>
    <w:p>
      <w:pPr>
        <w:pStyle w:val="46"/>
        <w:numPr>
          <w:ilvl w:val="0"/>
          <w:numId w:val="12"/>
        </w:numPr>
        <w:spacing w:line="360" w:lineRule="auto"/>
        <w:ind w:firstLineChars="0"/>
        <w:rPr>
          <w:rFonts w:ascii="宋体" w:hAnsi="宋体"/>
          <w:sz w:val="24"/>
        </w:rPr>
      </w:pPr>
      <w:r>
        <w:rPr>
          <w:rFonts w:hint="eastAsia"/>
          <w:sz w:val="24"/>
        </w:rPr>
        <w:t>对可充电储能系统安装舱体与乘客舱之间使用的材料提出了阻燃隔热的要求，目的是防止可充电储能系统起火后快速引燃乘客舱；</w:t>
      </w:r>
    </w:p>
    <w:p>
      <w:pPr>
        <w:widowControl/>
        <w:numPr>
          <w:numId w:val="0"/>
        </w:numPr>
        <w:tabs>
          <w:tab w:val="left" w:pos="360"/>
        </w:tabs>
        <w:spacing w:line="360" w:lineRule="auto"/>
        <w:ind w:leftChars="0"/>
        <w:jc w:val="left"/>
        <w:outlineLvl w:val="3"/>
        <w:rPr>
          <w:rFonts w:ascii="宋体" w:hAnsi="宋体"/>
          <w:i/>
          <w:sz w:val="24"/>
        </w:rPr>
      </w:pPr>
      <w:r>
        <w:rPr>
          <w:rFonts w:hint="eastAsia" w:ascii="宋体" w:hAnsi="宋体"/>
          <w:i/>
          <w:sz w:val="24"/>
          <w:lang w:val="en-US" w:eastAsia="zh-CN"/>
        </w:rPr>
        <w:t xml:space="preserve">5.3.3.4 </w:t>
      </w:r>
      <w:r>
        <w:rPr>
          <w:rFonts w:hint="eastAsia" w:ascii="宋体" w:hAnsi="宋体"/>
          <w:i/>
          <w:sz w:val="24"/>
        </w:rPr>
        <w:t>发动机舱及其它装有燃气/燃油加热器的舱内应配置温度报警系统，当出现温度过高时发出警报。报警系统应在驾驶区给驾驶员提供声或光报警信号。</w:t>
      </w:r>
    </w:p>
    <w:p>
      <w:pPr>
        <w:pStyle w:val="42"/>
        <w:numPr>
          <w:ilvl w:val="4"/>
          <w:numId w:val="0"/>
        </w:numPr>
        <w:spacing w:line="360" w:lineRule="auto"/>
        <w:ind w:firstLine="480" w:firstLineChars="200"/>
        <w:rPr>
          <w:rFonts w:ascii="宋体" w:hAnsi="宋体"/>
          <w:sz w:val="24"/>
        </w:rPr>
      </w:pPr>
      <w:r>
        <w:rPr>
          <w:rFonts w:hint="eastAsia" w:cs="宋体"/>
          <w:sz w:val="24"/>
          <w:lang w:val="zh-CN"/>
        </w:rPr>
        <w:t>说明：</w:t>
      </w:r>
      <w:r>
        <w:rPr>
          <w:rFonts w:hint="eastAsia" w:ascii="宋体"/>
          <w:kern w:val="0"/>
          <w:sz w:val="24"/>
        </w:rPr>
        <w:t>增加了对有热源的舱内配置温度报警系统的要求，以期在火情发生前及时通知驾驶员采取措施降低火灾风险。</w:t>
      </w:r>
    </w:p>
    <w:p>
      <w:pPr>
        <w:widowControl/>
        <w:numPr>
          <w:numId w:val="0"/>
        </w:numPr>
        <w:tabs>
          <w:tab w:val="left" w:pos="360"/>
        </w:tabs>
        <w:spacing w:line="360" w:lineRule="auto"/>
        <w:ind w:leftChars="0"/>
        <w:jc w:val="left"/>
        <w:outlineLvl w:val="3"/>
        <w:rPr>
          <w:rFonts w:ascii="宋体" w:hAnsi="宋体"/>
          <w:i/>
          <w:sz w:val="24"/>
        </w:rPr>
      </w:pPr>
      <w:r>
        <w:rPr>
          <w:rFonts w:hint="eastAsia" w:ascii="宋体" w:hAnsi="宋体"/>
          <w:i/>
          <w:sz w:val="24"/>
          <w:lang w:val="en-US" w:eastAsia="zh-CN"/>
        </w:rPr>
        <w:t xml:space="preserve">5.3.3.5 </w:t>
      </w:r>
      <w:r>
        <w:rPr>
          <w:rFonts w:hint="eastAsia" w:ascii="宋体" w:hAnsi="宋体"/>
          <w:i/>
          <w:sz w:val="24"/>
        </w:rPr>
        <w:t>可充电储能系统安装舱体内应配置火灾检测自动报警系统，报警系统应在驾驶区给驾驶员提供声或光报警信号。</w:t>
      </w:r>
    </w:p>
    <w:p>
      <w:pPr>
        <w:pStyle w:val="46"/>
        <w:spacing w:line="360" w:lineRule="auto"/>
        <w:ind w:firstLine="480"/>
        <w:rPr>
          <w:rFonts w:ascii="宋体"/>
          <w:kern w:val="0"/>
          <w:sz w:val="24"/>
        </w:rPr>
      </w:pPr>
      <w:r>
        <w:rPr>
          <w:rFonts w:hint="eastAsia" w:cs="宋体"/>
          <w:sz w:val="24"/>
          <w:lang w:val="zh-CN"/>
        </w:rPr>
        <w:t>说明：</w:t>
      </w:r>
      <w:r>
        <w:rPr>
          <w:rFonts w:hint="eastAsia" w:ascii="宋体"/>
          <w:kern w:val="0"/>
          <w:sz w:val="24"/>
        </w:rPr>
        <w:t>关于电池箱的防火，考虑到目前为止没有真正有效的扑灭锂离子电池的灭火技术，本文件提出了安装监测电池舱温度的高温报警系统的要求，以期提前发现险情，采取措施，具体安装何种灭火设备期待将来技术进步之后再进行规范。</w:t>
      </w:r>
    </w:p>
    <w:p>
      <w:pPr>
        <w:widowControl/>
        <w:numPr>
          <w:numId w:val="0"/>
        </w:numPr>
        <w:tabs>
          <w:tab w:val="left" w:pos="360"/>
        </w:tabs>
        <w:spacing w:line="360" w:lineRule="auto"/>
        <w:ind w:leftChars="0"/>
        <w:jc w:val="left"/>
        <w:outlineLvl w:val="3"/>
        <w:rPr>
          <w:sz w:val="24"/>
        </w:rPr>
      </w:pPr>
      <w:r>
        <w:rPr>
          <w:rFonts w:hint="eastAsia"/>
          <w:sz w:val="24"/>
          <w:lang w:val="en-US" w:eastAsia="zh-CN"/>
        </w:rPr>
        <w:t xml:space="preserve">5.3.4 </w:t>
      </w:r>
      <w:r>
        <w:rPr>
          <w:rFonts w:hint="eastAsia"/>
          <w:sz w:val="24"/>
        </w:rPr>
        <w:t>可充电储能系统</w:t>
      </w:r>
    </w:p>
    <w:p>
      <w:pPr>
        <w:widowControl/>
        <w:numPr>
          <w:numId w:val="0"/>
        </w:numPr>
        <w:tabs>
          <w:tab w:val="left" w:pos="360"/>
        </w:tabs>
        <w:spacing w:line="360" w:lineRule="auto"/>
        <w:ind w:leftChars="0"/>
        <w:jc w:val="left"/>
        <w:outlineLvl w:val="3"/>
        <w:rPr>
          <w:i/>
          <w:sz w:val="24"/>
        </w:rPr>
      </w:pPr>
      <w:r>
        <w:rPr>
          <w:rFonts w:hint="eastAsia"/>
          <w:i/>
          <w:sz w:val="24"/>
          <w:lang w:val="en-US" w:eastAsia="zh-CN"/>
        </w:rPr>
        <w:t xml:space="preserve">5.3.4.1 </w:t>
      </w:r>
      <w:r>
        <w:rPr>
          <w:rFonts w:hint="eastAsia"/>
          <w:i/>
          <w:sz w:val="24"/>
        </w:rPr>
        <w:t>蓄电池单元按照附录B的热失控测试条件进行试验，测试对象不应发生起火、爆炸。</w:t>
      </w:r>
    </w:p>
    <w:p>
      <w:pPr>
        <w:widowControl/>
        <w:numPr>
          <w:numId w:val="0"/>
        </w:numPr>
        <w:tabs>
          <w:tab w:val="left" w:pos="360"/>
        </w:tabs>
        <w:spacing w:line="360" w:lineRule="auto"/>
        <w:ind w:leftChars="0"/>
        <w:jc w:val="left"/>
        <w:outlineLvl w:val="3"/>
        <w:rPr>
          <w:i/>
          <w:sz w:val="24"/>
        </w:rPr>
      </w:pPr>
      <w:r>
        <w:rPr>
          <w:rFonts w:hint="eastAsia"/>
          <w:i/>
          <w:sz w:val="24"/>
          <w:lang w:val="en-US" w:eastAsia="zh-CN"/>
        </w:rPr>
        <w:t xml:space="preserve">5.3.4.2 </w:t>
      </w:r>
      <w:r>
        <w:rPr>
          <w:rFonts w:hint="eastAsia"/>
          <w:i/>
          <w:sz w:val="24"/>
        </w:rPr>
        <w:t>蓄电池包按照附录C的热失控扩展测试条件进行试验，测试对象应满足表1中一级或二级安全要求。</w:t>
      </w:r>
    </w:p>
    <w:p>
      <w:pPr>
        <w:pStyle w:val="52"/>
        <w:tabs>
          <w:tab w:val="left" w:pos="360"/>
        </w:tabs>
        <w:spacing w:before="156" w:after="156" w:line="360" w:lineRule="auto"/>
        <w:rPr>
          <w:i/>
          <w:sz w:val="24"/>
          <w:szCs w:val="24"/>
        </w:rPr>
      </w:pPr>
      <w:r>
        <w:rPr>
          <w:rFonts w:hint="eastAsia"/>
          <w:i/>
          <w:sz w:val="24"/>
          <w:szCs w:val="24"/>
        </w:rPr>
        <w:t>蓄电池包热失控扩展安全等级</w:t>
      </w:r>
    </w:p>
    <w:tbl>
      <w:tblPr>
        <w:tblStyle w:val="18"/>
        <w:tblW w:w="85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24"/>
        <w:gridCol w:w="74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024" w:type="dxa"/>
            <w:vAlign w:val="center"/>
          </w:tcPr>
          <w:p>
            <w:pPr>
              <w:spacing w:line="360" w:lineRule="auto"/>
              <w:jc w:val="center"/>
              <w:rPr>
                <w:i/>
                <w:sz w:val="24"/>
              </w:rPr>
            </w:pPr>
            <w:r>
              <w:rPr>
                <w:rFonts w:hint="eastAsia"/>
                <w:i/>
                <w:sz w:val="24"/>
              </w:rPr>
              <w:t>一级</w:t>
            </w:r>
          </w:p>
        </w:tc>
        <w:tc>
          <w:tcPr>
            <w:tcW w:w="7498" w:type="dxa"/>
            <w:vAlign w:val="top"/>
          </w:tcPr>
          <w:p>
            <w:pPr>
              <w:spacing w:line="360" w:lineRule="auto"/>
              <w:rPr>
                <w:i/>
                <w:sz w:val="24"/>
              </w:rPr>
            </w:pPr>
            <w:r>
              <w:rPr>
                <w:rFonts w:hint="eastAsia"/>
                <w:i/>
                <w:sz w:val="24"/>
              </w:rPr>
              <w:t>蓄电池包未发生起火、爆炸且蓄电池包表面温度不超过</w:t>
            </w:r>
            <w:r>
              <w:rPr>
                <w:i/>
                <w:sz w:val="24"/>
              </w:rPr>
              <w:t>150</w:t>
            </w:r>
            <w:r>
              <w:rPr>
                <w:rFonts w:hint="eastAsia"/>
                <w:i/>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024" w:type="dxa"/>
            <w:vAlign w:val="center"/>
          </w:tcPr>
          <w:p>
            <w:pPr>
              <w:spacing w:line="360" w:lineRule="auto"/>
              <w:jc w:val="center"/>
              <w:rPr>
                <w:i/>
                <w:sz w:val="24"/>
              </w:rPr>
            </w:pPr>
            <w:r>
              <w:rPr>
                <w:rFonts w:hint="eastAsia"/>
                <w:i/>
                <w:sz w:val="24"/>
              </w:rPr>
              <w:t>二级</w:t>
            </w:r>
          </w:p>
        </w:tc>
        <w:tc>
          <w:tcPr>
            <w:tcW w:w="7498" w:type="dxa"/>
            <w:vAlign w:val="top"/>
          </w:tcPr>
          <w:p>
            <w:pPr>
              <w:spacing w:line="360" w:lineRule="auto"/>
              <w:rPr>
                <w:i/>
                <w:sz w:val="24"/>
              </w:rPr>
            </w:pPr>
            <w:r>
              <w:rPr>
                <w:rFonts w:hint="eastAsia"/>
                <w:i/>
                <w:sz w:val="24"/>
              </w:rPr>
              <w:t>蓄电池包未发生起火、爆炸，但蓄电池包表面温度超过150℃</w:t>
            </w:r>
            <w:r>
              <w:rPr>
                <w:i/>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024" w:type="dxa"/>
            <w:vAlign w:val="center"/>
          </w:tcPr>
          <w:p>
            <w:pPr>
              <w:spacing w:line="360" w:lineRule="auto"/>
              <w:jc w:val="center"/>
              <w:rPr>
                <w:i/>
                <w:sz w:val="24"/>
              </w:rPr>
            </w:pPr>
            <w:r>
              <w:rPr>
                <w:rFonts w:hint="eastAsia"/>
                <w:i/>
                <w:sz w:val="24"/>
              </w:rPr>
              <w:t>三级</w:t>
            </w:r>
          </w:p>
        </w:tc>
        <w:tc>
          <w:tcPr>
            <w:tcW w:w="7498" w:type="dxa"/>
            <w:vAlign w:val="top"/>
          </w:tcPr>
          <w:p>
            <w:pPr>
              <w:spacing w:line="360" w:lineRule="auto"/>
              <w:rPr>
                <w:i/>
                <w:sz w:val="24"/>
              </w:rPr>
            </w:pPr>
            <w:r>
              <w:rPr>
                <w:rFonts w:hint="eastAsia"/>
                <w:i/>
                <w:sz w:val="24"/>
              </w:rPr>
              <w:t>蓄电池包发生起火燃烧，但未发生爆炸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024" w:type="dxa"/>
            <w:vAlign w:val="center"/>
          </w:tcPr>
          <w:p>
            <w:pPr>
              <w:spacing w:line="360" w:lineRule="auto"/>
              <w:jc w:val="center"/>
              <w:rPr>
                <w:i/>
                <w:sz w:val="24"/>
              </w:rPr>
            </w:pPr>
            <w:r>
              <w:rPr>
                <w:rFonts w:hint="eastAsia"/>
                <w:i/>
                <w:sz w:val="24"/>
              </w:rPr>
              <w:t>四级</w:t>
            </w:r>
          </w:p>
        </w:tc>
        <w:tc>
          <w:tcPr>
            <w:tcW w:w="7498" w:type="dxa"/>
            <w:vAlign w:val="top"/>
          </w:tcPr>
          <w:p>
            <w:pPr>
              <w:spacing w:line="360" w:lineRule="auto"/>
              <w:rPr>
                <w:i/>
                <w:sz w:val="24"/>
              </w:rPr>
            </w:pPr>
            <w:r>
              <w:rPr>
                <w:rFonts w:hint="eastAsia"/>
                <w:i/>
                <w:sz w:val="24"/>
              </w:rPr>
              <w:t>蓄电池包发生爆炸</w:t>
            </w:r>
          </w:p>
        </w:tc>
      </w:tr>
    </w:tbl>
    <w:p>
      <w:pPr>
        <w:pStyle w:val="50"/>
        <w:tabs>
          <w:tab w:val="left" w:pos="360"/>
        </w:tabs>
        <w:ind w:left="15" w:leftChars="0" w:firstLine="403" w:firstLineChars="168"/>
      </w:pPr>
      <w:r>
        <w:rPr>
          <w:rFonts w:hint="eastAsia"/>
        </w:rPr>
        <w:t>说明：</w:t>
      </w:r>
    </w:p>
    <w:p>
      <w:pPr>
        <w:pStyle w:val="50"/>
        <w:tabs>
          <w:tab w:val="left" w:pos="360"/>
        </w:tabs>
        <w:ind w:left="15" w:leftChars="0" w:firstLine="403" w:firstLineChars="168"/>
      </w:pPr>
      <w:r>
        <w:rPr>
          <w:rFonts w:hint="eastAsia"/>
        </w:rPr>
        <w:t>本文件提出了热失控、热失控扩展的定义；</w:t>
      </w:r>
    </w:p>
    <w:p>
      <w:pPr>
        <w:pStyle w:val="50"/>
        <w:tabs>
          <w:tab w:val="left" w:pos="360"/>
        </w:tabs>
        <w:ind w:left="15" w:leftChars="0" w:firstLine="403" w:firstLineChars="168"/>
      </w:pPr>
      <w:r>
        <w:rPr>
          <w:rFonts w:hint="eastAsia"/>
        </w:rPr>
        <w:t>本文件提出了热失控、热失控扩展对应的测试方案及要求；</w:t>
      </w:r>
    </w:p>
    <w:p>
      <w:pPr>
        <w:pStyle w:val="50"/>
        <w:tabs>
          <w:tab w:val="left" w:pos="360"/>
        </w:tabs>
        <w:ind w:left="15" w:leftChars="0" w:firstLine="403" w:firstLineChars="168"/>
      </w:pPr>
      <w:r>
        <w:rPr>
          <w:rFonts w:hint="eastAsia"/>
        </w:rPr>
        <w:t>通过对蓄电池包安全等级的评估，确保电动客车的运行安全及乘客安全；</w:t>
      </w:r>
    </w:p>
    <w:p>
      <w:pPr>
        <w:widowControl/>
        <w:numPr>
          <w:numId w:val="0"/>
        </w:numPr>
        <w:tabs>
          <w:tab w:val="left" w:pos="360"/>
        </w:tabs>
        <w:spacing w:line="360" w:lineRule="auto"/>
        <w:ind w:leftChars="0"/>
        <w:jc w:val="left"/>
        <w:outlineLvl w:val="3"/>
        <w:rPr>
          <w:i/>
          <w:sz w:val="24"/>
        </w:rPr>
      </w:pPr>
      <w:r>
        <w:rPr>
          <w:rFonts w:hint="eastAsia"/>
          <w:i/>
          <w:sz w:val="24"/>
          <w:lang w:val="en-US" w:eastAsia="zh-CN"/>
        </w:rPr>
        <w:t xml:space="preserve">5.3.4.3 </w:t>
      </w:r>
      <w:r>
        <w:rPr>
          <w:rFonts w:hint="eastAsia"/>
          <w:i/>
          <w:sz w:val="24"/>
        </w:rPr>
        <w:t>按照GB/T 31467.3-2015中7.1的要求，在电池包完成且通过的振动试验后，再将此电池包按照GB/T 31467.3-2015中7.9所述的海水浸泡测试方法进行试验，电池包应不起火、不爆炸。</w:t>
      </w:r>
    </w:p>
    <w:p>
      <w:pPr>
        <w:pStyle w:val="50"/>
        <w:tabs>
          <w:tab w:val="left" w:pos="360"/>
        </w:tabs>
        <w:ind w:left="15" w:leftChars="0" w:firstLine="403" w:firstLineChars="168"/>
        <w:rPr>
          <w:rFonts w:hint="eastAsia"/>
        </w:rPr>
      </w:pPr>
      <w:r>
        <w:rPr>
          <w:rFonts w:hint="eastAsia"/>
        </w:rPr>
        <w:t>说明：主要考量蓄电池包在运行过程中，在蓄电池包箱体IP67失效、车辆涉水等情况下蓄电池包的安全要求，保证蓄电池包不起火、不爆炸。</w:t>
      </w:r>
    </w:p>
    <w:p>
      <w:pPr>
        <w:widowControl/>
        <w:numPr>
          <w:numId w:val="0"/>
        </w:numPr>
        <w:tabs>
          <w:tab w:val="left" w:pos="360"/>
        </w:tabs>
        <w:spacing w:line="360" w:lineRule="auto"/>
        <w:ind w:leftChars="0"/>
        <w:jc w:val="left"/>
        <w:outlineLvl w:val="3"/>
        <w:rPr>
          <w:i/>
          <w:sz w:val="24"/>
        </w:rPr>
      </w:pPr>
      <w:r>
        <w:rPr>
          <w:rFonts w:hint="eastAsia"/>
          <w:i/>
          <w:sz w:val="24"/>
          <w:lang w:val="en-US" w:eastAsia="zh-CN"/>
        </w:rPr>
        <w:t xml:space="preserve">5.3.4.3 </w:t>
      </w:r>
      <w:r>
        <w:rPr>
          <w:rFonts w:hint="eastAsia"/>
          <w:i/>
          <w:sz w:val="24"/>
        </w:rPr>
        <w:t>可充电储能系统安装舱体应与乘客舱隔离(引风装置除外)，保证乘客不能触及到可充电储能系统。若从乘客舱引风为可充电储能系统调节温度，则引风口应配置烟雾控制装置，保证有害气体不能从进风口进入乘客舱。</w:t>
      </w:r>
    </w:p>
    <w:p>
      <w:pPr>
        <w:pStyle w:val="46"/>
        <w:spacing w:line="360" w:lineRule="auto"/>
        <w:ind w:firstLine="480"/>
        <w:rPr>
          <w:sz w:val="24"/>
        </w:rPr>
      </w:pPr>
      <w:r>
        <w:rPr>
          <w:rFonts w:hint="eastAsia"/>
          <w:sz w:val="24"/>
        </w:rPr>
        <w:t>说明：针对需要引空调风的可充电储能系统舱体，需要配置烟雾控制装置，确保烟雾等有害气体不能进入乘客舱，保证乘客安全。</w:t>
      </w:r>
    </w:p>
    <w:p>
      <w:pPr>
        <w:widowControl/>
        <w:numPr>
          <w:numId w:val="0"/>
        </w:numPr>
        <w:tabs>
          <w:tab w:val="left" w:pos="360"/>
        </w:tabs>
        <w:spacing w:line="360" w:lineRule="auto"/>
        <w:ind w:leftChars="0"/>
        <w:jc w:val="left"/>
        <w:outlineLvl w:val="3"/>
        <w:rPr>
          <w:i/>
          <w:sz w:val="24"/>
        </w:rPr>
      </w:pPr>
      <w:r>
        <w:rPr>
          <w:rFonts w:hint="eastAsia"/>
          <w:i/>
          <w:sz w:val="24"/>
          <w:lang w:val="en-US" w:eastAsia="zh-CN"/>
        </w:rPr>
        <w:t xml:space="preserve">5.3.4.3 </w:t>
      </w:r>
      <w:r>
        <w:rPr>
          <w:rFonts w:hint="eastAsia"/>
          <w:i/>
          <w:sz w:val="24"/>
        </w:rPr>
        <w:t>可充电储能系统应安装断路器和熔断器。</w:t>
      </w:r>
    </w:p>
    <w:p>
      <w:pPr>
        <w:pStyle w:val="27"/>
        <w:spacing w:line="360" w:lineRule="auto"/>
        <w:ind w:right="8" w:rightChars="4" w:firstLine="480"/>
        <w:rPr>
          <w:sz w:val="24"/>
          <w:szCs w:val="24"/>
        </w:rPr>
      </w:pPr>
      <w:r>
        <w:rPr>
          <w:rFonts w:hint="eastAsia"/>
          <w:sz w:val="24"/>
          <w:szCs w:val="24"/>
        </w:rPr>
        <w:t>说明：整车防火要求及人员防触电要求，在异常情况（如电气短路）下应技术断开。</w:t>
      </w:r>
    </w:p>
    <w:p>
      <w:pPr>
        <w:widowControl/>
        <w:numPr>
          <w:numId w:val="0"/>
        </w:numPr>
        <w:tabs>
          <w:tab w:val="left" w:pos="360"/>
        </w:tabs>
        <w:spacing w:line="360" w:lineRule="auto"/>
        <w:ind w:leftChars="0"/>
        <w:jc w:val="left"/>
        <w:outlineLvl w:val="3"/>
        <w:rPr>
          <w:i/>
          <w:sz w:val="24"/>
        </w:rPr>
      </w:pPr>
      <w:r>
        <w:rPr>
          <w:rFonts w:hint="eastAsia"/>
          <w:i/>
          <w:sz w:val="24"/>
          <w:lang w:val="en-US" w:eastAsia="zh-CN"/>
        </w:rPr>
        <w:t xml:space="preserve">5.3.4.4 </w:t>
      </w:r>
      <w:r>
        <w:rPr>
          <w:rFonts w:hint="eastAsia"/>
          <w:i/>
          <w:sz w:val="24"/>
        </w:rPr>
        <w:t>可充电储能系统单个蓄电池包电量应小于等于40kWh。</w:t>
      </w:r>
    </w:p>
    <w:p>
      <w:pPr>
        <w:pStyle w:val="27"/>
        <w:spacing w:line="360" w:lineRule="auto"/>
        <w:ind w:right="8" w:rightChars="4" w:firstLine="480"/>
        <w:rPr>
          <w:rFonts w:hint="eastAsia"/>
          <w:sz w:val="24"/>
          <w:szCs w:val="24"/>
        </w:rPr>
      </w:pPr>
      <w:r>
        <w:rPr>
          <w:rFonts w:hint="eastAsia"/>
          <w:sz w:val="24"/>
          <w:szCs w:val="24"/>
        </w:rPr>
        <w:t>说明：控制蓄电池系统每个箱体的能量大小，确保蓄电池包在热失控、热失控扩展的情况下能安全可控。</w:t>
      </w:r>
    </w:p>
    <w:p>
      <w:pPr>
        <w:widowControl/>
        <w:numPr>
          <w:numId w:val="0"/>
        </w:numPr>
        <w:tabs>
          <w:tab w:val="left" w:pos="360"/>
        </w:tabs>
        <w:spacing w:line="360" w:lineRule="auto"/>
        <w:ind w:leftChars="0"/>
        <w:jc w:val="left"/>
        <w:outlineLvl w:val="3"/>
        <w:rPr>
          <w:sz w:val="24"/>
        </w:rPr>
      </w:pPr>
      <w:bookmarkStart w:id="6" w:name="_Toc450582990"/>
      <w:bookmarkStart w:id="7" w:name="_Toc450670910"/>
      <w:r>
        <w:rPr>
          <w:rFonts w:hint="eastAsia"/>
          <w:sz w:val="24"/>
          <w:lang w:val="en-US" w:eastAsia="zh-CN"/>
        </w:rPr>
        <w:t xml:space="preserve">5.3.5 </w:t>
      </w:r>
      <w:r>
        <w:rPr>
          <w:rFonts w:hint="eastAsia"/>
          <w:sz w:val="24"/>
        </w:rPr>
        <w:t>线束</w:t>
      </w:r>
      <w:bookmarkEnd w:id="6"/>
      <w:bookmarkEnd w:id="7"/>
    </w:p>
    <w:p>
      <w:pPr>
        <w:widowControl/>
        <w:numPr>
          <w:numId w:val="0"/>
        </w:numPr>
        <w:tabs>
          <w:tab w:val="left" w:pos="360"/>
        </w:tabs>
        <w:spacing w:line="360" w:lineRule="auto"/>
        <w:ind w:leftChars="0"/>
        <w:jc w:val="left"/>
        <w:outlineLvl w:val="3"/>
        <w:rPr>
          <w:i/>
          <w:sz w:val="24"/>
          <w:highlight w:val="none"/>
        </w:rPr>
      </w:pPr>
      <w:r>
        <w:rPr>
          <w:rFonts w:hint="eastAsia"/>
          <w:i/>
          <w:sz w:val="24"/>
          <w:highlight w:val="none"/>
          <w:lang w:val="en-US" w:eastAsia="zh-CN"/>
        </w:rPr>
        <w:t>5.3.5.1</w:t>
      </w:r>
      <w:r>
        <w:rPr>
          <w:rFonts w:hint="eastAsia"/>
          <w:i/>
          <w:sz w:val="24"/>
          <w:highlight w:val="none"/>
        </w:rPr>
        <w:t>连接B级电压部件的线束应符合QC/T 1037-2016第4章的规定。</w:t>
      </w:r>
    </w:p>
    <w:p>
      <w:pPr>
        <w:pStyle w:val="50"/>
        <w:widowControl/>
        <w:tabs>
          <w:tab w:val="left" w:pos="360"/>
        </w:tabs>
        <w:wordWrap/>
        <w:adjustRightInd/>
        <w:snapToGrid/>
        <w:spacing w:before="0" w:after="0" w:line="360" w:lineRule="auto"/>
        <w:ind w:left="0" w:leftChars="0" w:right="0" w:firstLine="480" w:firstLineChars="200"/>
        <w:jc w:val="left"/>
        <w:textAlignment w:val="auto"/>
        <w:outlineLvl w:val="4"/>
        <w:rPr>
          <w:highlight w:val="none"/>
        </w:rPr>
      </w:pPr>
      <w:r>
        <w:rPr>
          <w:rFonts w:hint="eastAsia"/>
          <w:highlight w:val="none"/>
        </w:rPr>
        <w:t>说明：QC/T1037-2016为针对新能源车辆使用电缆的最新行业标准，应参照执行。</w:t>
      </w:r>
    </w:p>
    <w:p>
      <w:pPr>
        <w:widowControl/>
        <w:numPr>
          <w:numId w:val="0"/>
        </w:numPr>
        <w:tabs>
          <w:tab w:val="left" w:pos="360"/>
        </w:tabs>
        <w:spacing w:line="360" w:lineRule="auto"/>
        <w:ind w:leftChars="0"/>
        <w:jc w:val="left"/>
        <w:outlineLvl w:val="3"/>
        <w:rPr>
          <w:i/>
          <w:sz w:val="24"/>
          <w:highlight w:val="none"/>
        </w:rPr>
      </w:pPr>
      <w:r>
        <w:rPr>
          <w:rFonts w:hint="eastAsia"/>
          <w:i/>
          <w:sz w:val="24"/>
          <w:highlight w:val="none"/>
          <w:lang w:val="en-US" w:eastAsia="zh-CN"/>
        </w:rPr>
        <w:t>5.3.5.2</w:t>
      </w:r>
      <w:r>
        <w:rPr>
          <w:rFonts w:hint="eastAsia"/>
          <w:i/>
          <w:sz w:val="24"/>
          <w:highlight w:val="none"/>
        </w:rPr>
        <w:t>整车B级电压回路应至少设置一个过电流断开装置。</w:t>
      </w:r>
    </w:p>
    <w:p>
      <w:pPr>
        <w:pStyle w:val="50"/>
        <w:widowControl/>
        <w:tabs>
          <w:tab w:val="left" w:pos="360"/>
        </w:tabs>
        <w:wordWrap/>
        <w:adjustRightInd/>
        <w:snapToGrid/>
        <w:spacing w:before="0" w:after="0" w:line="360" w:lineRule="auto"/>
        <w:ind w:left="0" w:leftChars="0" w:right="0" w:firstLine="480" w:firstLineChars="200"/>
        <w:jc w:val="left"/>
        <w:textAlignment w:val="auto"/>
        <w:outlineLvl w:val="4"/>
        <w:rPr>
          <w:rFonts w:hint="eastAsia"/>
          <w:highlight w:val="none"/>
        </w:rPr>
      </w:pPr>
      <w:r>
        <w:rPr>
          <w:rFonts w:hint="eastAsia"/>
          <w:highlight w:val="none"/>
        </w:rPr>
        <w:t>说明：整车防火要求及人员防触电要求，在电气短路时应及时断开电气回路。</w:t>
      </w:r>
    </w:p>
    <w:p>
      <w:pPr>
        <w:widowControl/>
        <w:numPr>
          <w:numId w:val="0"/>
        </w:numPr>
        <w:tabs>
          <w:tab w:val="left" w:pos="360"/>
        </w:tabs>
        <w:spacing w:line="360" w:lineRule="auto"/>
        <w:ind w:leftChars="0"/>
        <w:jc w:val="left"/>
        <w:outlineLvl w:val="3"/>
        <w:rPr>
          <w:rFonts w:hint="eastAsia"/>
          <w:sz w:val="24"/>
          <w:lang w:val="en-US" w:eastAsia="zh-CN"/>
        </w:rPr>
      </w:pPr>
      <w:bookmarkStart w:id="8" w:name="_Toc451860877"/>
      <w:r>
        <w:rPr>
          <w:rFonts w:hint="eastAsia"/>
          <w:sz w:val="24"/>
          <w:lang w:val="en-US" w:eastAsia="zh-CN"/>
        </w:rPr>
        <w:t>5.3.6控制安全</w:t>
      </w:r>
      <w:bookmarkEnd w:id="8"/>
    </w:p>
    <w:p>
      <w:pPr>
        <w:pStyle w:val="50"/>
        <w:widowControl/>
        <w:tabs>
          <w:tab w:val="left" w:pos="360"/>
        </w:tabs>
        <w:wordWrap/>
        <w:adjustRightInd/>
        <w:snapToGrid/>
        <w:spacing w:before="0" w:after="0" w:line="360" w:lineRule="auto"/>
        <w:ind w:left="0" w:leftChars="0" w:right="0" w:firstLine="480" w:firstLineChars="200"/>
        <w:jc w:val="left"/>
        <w:textAlignment w:val="auto"/>
        <w:outlineLvl w:val="4"/>
      </w:pPr>
      <w:r>
        <w:rPr>
          <w:rFonts w:hint="eastAsia"/>
        </w:rPr>
        <w:t>整车控制系统应不输出跟驾驶意图不一致的驱动指令，当制动信号和加速信号同时发生时，应只响应制动信号。</w:t>
      </w:r>
    </w:p>
    <w:p>
      <w:pPr>
        <w:pStyle w:val="22"/>
        <w:numPr>
          <w:ilvl w:val="0"/>
          <w:numId w:val="0"/>
        </w:numPr>
        <w:spacing w:before="0" w:after="0" w:line="360" w:lineRule="auto"/>
        <w:ind w:firstLine="480" w:firstLineChars="200"/>
        <w:rPr>
          <w:rFonts w:ascii="宋体" w:hAnsi="宋体" w:eastAsia="宋体"/>
          <w:sz w:val="24"/>
          <w:szCs w:val="24"/>
        </w:rPr>
      </w:pPr>
      <w:r>
        <w:rPr>
          <w:rFonts w:hint="eastAsia" w:ascii="宋体" w:hAnsi="宋体" w:eastAsia="宋体"/>
          <w:sz w:val="24"/>
          <w:szCs w:val="24"/>
        </w:rPr>
        <w:t>说明：整车控制器只能根据驾驶员对油门，制动刹车的操作，确定整车控制系统的功率输出，同时无论在任何情况下，应保证驾驶员的安全，故制动优先是整车控制优先级较高的逻辑。</w:t>
      </w:r>
      <w:r>
        <w:rPr>
          <w:rFonts w:ascii="宋体" w:hAnsi="宋体" w:eastAsia="宋体"/>
          <w:sz w:val="24"/>
          <w:szCs w:val="24"/>
        </w:rPr>
        <w:t xml:space="preserve"> </w:t>
      </w:r>
    </w:p>
    <w:p>
      <w:pPr>
        <w:widowControl/>
        <w:numPr>
          <w:numId w:val="0"/>
        </w:numPr>
        <w:tabs>
          <w:tab w:val="left" w:pos="360"/>
        </w:tabs>
        <w:spacing w:line="360" w:lineRule="auto"/>
        <w:ind w:leftChars="0"/>
        <w:jc w:val="left"/>
        <w:outlineLvl w:val="3"/>
        <w:rPr>
          <w:sz w:val="24"/>
        </w:rPr>
      </w:pPr>
      <w:bookmarkStart w:id="9" w:name="_Toc451860878"/>
      <w:r>
        <w:rPr>
          <w:rFonts w:hint="eastAsia" w:hAnsi="黑体"/>
          <w:sz w:val="24"/>
          <w:lang w:val="en-US" w:eastAsia="zh-CN"/>
        </w:rPr>
        <w:t>5.3.7</w:t>
      </w:r>
      <w:r>
        <w:rPr>
          <w:rFonts w:hint="eastAsia" w:hAnsi="黑体"/>
          <w:sz w:val="24"/>
        </w:rPr>
        <w:t>远程监控</w:t>
      </w:r>
      <w:bookmarkStart w:id="10" w:name="_Toc451604333"/>
      <w:bookmarkEnd w:id="10"/>
      <w:bookmarkStart w:id="11" w:name="_Toc451604334"/>
      <w:bookmarkEnd w:id="11"/>
      <w:bookmarkStart w:id="12" w:name="_Toc451604324"/>
      <w:bookmarkEnd w:id="12"/>
      <w:bookmarkStart w:id="13" w:name="_Toc451604325"/>
      <w:bookmarkEnd w:id="13"/>
      <w:bookmarkStart w:id="14" w:name="_Toc451604326"/>
      <w:bookmarkEnd w:id="14"/>
      <w:bookmarkStart w:id="15" w:name="_Toc451604327"/>
      <w:bookmarkEnd w:id="15"/>
      <w:bookmarkStart w:id="16" w:name="_Toc451604328"/>
      <w:bookmarkEnd w:id="16"/>
      <w:bookmarkStart w:id="17" w:name="_Toc451604330"/>
      <w:bookmarkEnd w:id="17"/>
      <w:bookmarkStart w:id="18" w:name="_Toc451604331"/>
      <w:bookmarkEnd w:id="18"/>
      <w:bookmarkStart w:id="19" w:name="_Toc451604332"/>
      <w:bookmarkEnd w:id="19"/>
      <w:r>
        <w:rPr>
          <w:rFonts w:hint="eastAsia" w:hAnsi="黑体"/>
          <w:sz w:val="24"/>
        </w:rPr>
        <w:t>车载终端</w:t>
      </w:r>
      <w:bookmarkEnd w:id="9"/>
    </w:p>
    <w:p>
      <w:pPr>
        <w:widowControl/>
        <w:numPr>
          <w:numId w:val="0"/>
        </w:numPr>
        <w:tabs>
          <w:tab w:val="left" w:pos="360"/>
        </w:tabs>
        <w:spacing w:line="360" w:lineRule="auto"/>
        <w:ind w:leftChars="0"/>
        <w:jc w:val="left"/>
        <w:outlineLvl w:val="3"/>
        <w:rPr>
          <w:rFonts w:ascii="宋体" w:hAnsi="宋体"/>
          <w:i/>
          <w:sz w:val="24"/>
        </w:rPr>
      </w:pPr>
      <w:bookmarkStart w:id="20" w:name="_Toc450582993"/>
      <w:bookmarkStart w:id="21" w:name="_Toc450670913"/>
      <w:r>
        <w:rPr>
          <w:rFonts w:hint="eastAsia" w:ascii="宋体" w:hAnsi="宋体"/>
          <w:i/>
          <w:sz w:val="24"/>
          <w:lang w:val="en-US" w:eastAsia="zh-CN"/>
        </w:rPr>
        <w:t>5.3.7.1</w:t>
      </w:r>
      <w:r>
        <w:rPr>
          <w:rFonts w:hint="eastAsia" w:ascii="宋体" w:hAnsi="宋体" w:eastAsia="宋体"/>
          <w:i/>
          <w:sz w:val="24"/>
        </w:rPr>
        <w:t>车辆应安装符合有关国家标准要求的车载终端，并实现和监控平台实时通讯</w:t>
      </w:r>
      <w:r>
        <w:rPr>
          <w:rFonts w:hint="eastAsia" w:ascii="宋体" w:hAnsi="宋体"/>
          <w:i/>
          <w:sz w:val="24"/>
        </w:rPr>
        <w:t>。</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说明：车辆应安装车载终端，并和监控平台实时通讯。</w:t>
      </w:r>
    </w:p>
    <w:p>
      <w:pPr>
        <w:widowControl/>
        <w:numPr>
          <w:numId w:val="0"/>
        </w:numPr>
        <w:tabs>
          <w:tab w:val="left" w:pos="360"/>
        </w:tabs>
        <w:spacing w:line="360" w:lineRule="auto"/>
        <w:ind w:leftChars="0"/>
        <w:jc w:val="left"/>
        <w:outlineLvl w:val="3"/>
        <w:rPr>
          <w:rFonts w:ascii="宋体" w:hAnsi="宋体" w:cs="宋体"/>
          <w:i/>
          <w:sz w:val="24"/>
        </w:rPr>
      </w:pPr>
      <w:r>
        <w:rPr>
          <w:rFonts w:hint="eastAsia" w:ascii="宋体" w:hAnsi="宋体"/>
          <w:i/>
          <w:sz w:val="24"/>
          <w:lang w:val="en-US" w:eastAsia="zh-CN"/>
        </w:rPr>
        <w:t>5.3.7.2</w:t>
      </w:r>
      <w:r>
        <w:rPr>
          <w:rFonts w:hint="eastAsia" w:ascii="宋体" w:hAnsi="宋体"/>
          <w:i/>
          <w:sz w:val="24"/>
        </w:rPr>
        <w:t>车载终端内部存储介质容量应满足至少7天的内部数据存储，</w:t>
      </w:r>
      <w:r>
        <w:rPr>
          <w:rFonts w:hint="eastAsia" w:ascii="宋体" w:hAnsi="宋体" w:eastAsia="宋体"/>
          <w:i/>
          <w:sz w:val="24"/>
        </w:rPr>
        <w:t>存储频率不低于1次/秒</w:t>
      </w:r>
      <w:r>
        <w:rPr>
          <w:rFonts w:hint="eastAsia" w:ascii="宋体" w:hAnsi="宋体"/>
          <w:i/>
          <w:sz w:val="24"/>
        </w:rPr>
        <w:t>。当车载终端内部存储介质存储满时，应具备内部存储数据的自动覆盖功能,当车载终端断电停止工作时，应能完整保存断电前保存在内部介质中的数据不丢失，车载终端内部存储的数据应可查阅。</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说明：远程安全监控系统的车载终端对数据的存储要求。</w:t>
      </w:r>
    </w:p>
    <w:p>
      <w:pPr>
        <w:widowControl/>
        <w:numPr>
          <w:numId w:val="0"/>
        </w:numPr>
        <w:tabs>
          <w:tab w:val="left" w:pos="360"/>
        </w:tabs>
        <w:spacing w:line="360" w:lineRule="auto"/>
        <w:ind w:leftChars="0"/>
        <w:jc w:val="left"/>
        <w:outlineLvl w:val="3"/>
        <w:rPr>
          <w:i/>
          <w:sz w:val="24"/>
        </w:rPr>
      </w:pPr>
      <w:r>
        <w:rPr>
          <w:rFonts w:hint="eastAsia" w:ascii="宋体" w:hAnsi="宋体"/>
          <w:i/>
          <w:sz w:val="24"/>
          <w:lang w:val="en-US" w:eastAsia="zh-CN"/>
        </w:rPr>
        <w:t>5.3.7.3</w:t>
      </w:r>
      <w:r>
        <w:rPr>
          <w:rFonts w:hint="eastAsia" w:ascii="宋体" w:hAnsi="宋体"/>
          <w:i/>
          <w:sz w:val="24"/>
        </w:rPr>
        <w:t>远程监控系统功能应符合附录D</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说明：对远程监控系统功能及监控数据做了规定。</w:t>
      </w:r>
    </w:p>
    <w:p>
      <w:pPr>
        <w:widowControl/>
        <w:numPr>
          <w:numId w:val="0"/>
        </w:numPr>
        <w:tabs>
          <w:tab w:val="left" w:pos="360"/>
        </w:tabs>
        <w:spacing w:line="360" w:lineRule="auto"/>
        <w:ind w:leftChars="0"/>
        <w:jc w:val="left"/>
        <w:outlineLvl w:val="3"/>
        <w:rPr>
          <w:rFonts w:ascii="黑体" w:eastAsia="黑体" w:cs="宋体"/>
          <w:kern w:val="0"/>
          <w:sz w:val="24"/>
          <w:lang w:val="zh-CN"/>
        </w:rPr>
      </w:pPr>
      <w:r>
        <w:rPr>
          <w:rFonts w:hint="eastAsia" w:ascii="黑体" w:eastAsia="黑体" w:cs="宋体"/>
          <w:kern w:val="0"/>
          <w:sz w:val="24"/>
          <w:lang w:val="en-US" w:eastAsia="zh-CN"/>
        </w:rPr>
        <w:t>5.3.8</w:t>
      </w:r>
      <w:r>
        <w:rPr>
          <w:rFonts w:hint="eastAsia" w:ascii="黑体" w:eastAsia="黑体" w:cs="宋体"/>
          <w:kern w:val="0"/>
          <w:sz w:val="24"/>
          <w:lang w:val="zh-CN"/>
        </w:rPr>
        <w:t>充电安全</w:t>
      </w:r>
    </w:p>
    <w:bookmarkEnd w:id="20"/>
    <w:bookmarkEnd w:id="21"/>
    <w:p>
      <w:pPr>
        <w:widowControl/>
        <w:numPr>
          <w:numId w:val="0"/>
        </w:numPr>
        <w:tabs>
          <w:tab w:val="left" w:pos="360"/>
        </w:tabs>
        <w:spacing w:line="360" w:lineRule="auto"/>
        <w:ind w:leftChars="0"/>
        <w:jc w:val="left"/>
        <w:outlineLvl w:val="3"/>
        <w:rPr>
          <w:rFonts w:ascii="宋体" w:hAnsi="宋体"/>
          <w:i/>
          <w:sz w:val="24"/>
        </w:rPr>
      </w:pPr>
      <w:bookmarkStart w:id="22" w:name="_Toc450582092"/>
      <w:bookmarkStart w:id="23" w:name="_Toc450582270"/>
      <w:bookmarkStart w:id="24" w:name="_Toc450582365"/>
      <w:bookmarkStart w:id="25" w:name="_Toc450582998"/>
      <w:bookmarkStart w:id="26" w:name="_Toc450670917"/>
      <w:r>
        <w:rPr>
          <w:rFonts w:hint="eastAsia" w:ascii="宋体" w:hAnsi="宋体"/>
          <w:i/>
          <w:sz w:val="24"/>
          <w:lang w:val="en-US" w:eastAsia="zh-CN"/>
        </w:rPr>
        <w:t>5.3.8.1</w:t>
      </w:r>
      <w:r>
        <w:rPr>
          <w:rFonts w:hint="eastAsia" w:ascii="宋体" w:hAnsi="宋体"/>
          <w:i/>
          <w:sz w:val="24"/>
        </w:rPr>
        <w:t>整车具备多个充电接口时，充电时不工作的充电接口应不带电。</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说明： 联锁要求。充电枪和充电插座或充电连接器正常插合之前不应带电，且不能在其带电时被拔出。</w:t>
      </w:r>
    </w:p>
    <w:p>
      <w:pPr>
        <w:widowControl/>
        <w:numPr>
          <w:numId w:val="0"/>
        </w:numPr>
        <w:tabs>
          <w:tab w:val="left" w:pos="360"/>
        </w:tabs>
        <w:spacing w:line="360" w:lineRule="auto"/>
        <w:ind w:leftChars="0"/>
        <w:jc w:val="left"/>
        <w:outlineLvl w:val="3"/>
        <w:rPr>
          <w:i/>
          <w:sz w:val="24"/>
        </w:rPr>
      </w:pPr>
      <w:r>
        <w:rPr>
          <w:rFonts w:hint="eastAsia"/>
          <w:i/>
          <w:sz w:val="24"/>
          <w:lang w:val="en-US" w:eastAsia="zh-CN"/>
        </w:rPr>
        <w:t>5.3.8.2</w:t>
      </w:r>
      <w:r>
        <w:rPr>
          <w:rFonts w:hint="eastAsia"/>
          <w:i/>
          <w:sz w:val="24"/>
        </w:rPr>
        <w:t>车辆的充电插座应设置温度监控装置，该装置应能根据温度变化传送相应信号给充电机和车辆，用于实现车辆接口的温度监测和过温保护功能。</w:t>
      </w:r>
      <w:bookmarkEnd w:id="22"/>
      <w:bookmarkEnd w:id="23"/>
      <w:bookmarkEnd w:id="24"/>
      <w:bookmarkStart w:id="27" w:name="_Toc451604347"/>
      <w:bookmarkEnd w:id="27"/>
      <w:bookmarkStart w:id="28" w:name="_Toc451604348"/>
      <w:bookmarkEnd w:id="28"/>
      <w:bookmarkStart w:id="29" w:name="_Toc451604349"/>
      <w:bookmarkEnd w:id="29"/>
      <w:bookmarkStart w:id="30" w:name="_Toc451604350"/>
      <w:bookmarkEnd w:id="30"/>
      <w:bookmarkStart w:id="31" w:name="_Toc451604351"/>
      <w:bookmarkEnd w:id="31"/>
      <w:bookmarkStart w:id="32" w:name="_Toc451604352"/>
      <w:bookmarkEnd w:id="32"/>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说明：插座过温保护功能要求。充电插座应符合</w:t>
      </w:r>
      <w:r>
        <w:rPr>
          <w:rFonts w:ascii="宋体" w:hAnsi="宋体" w:cs="宋体"/>
          <w:kern w:val="0"/>
          <w:sz w:val="24"/>
        </w:rPr>
        <w:t>GB/T 18487.1-2015</w:t>
      </w:r>
      <w:r>
        <w:rPr>
          <w:rFonts w:hint="eastAsia" w:ascii="宋体" w:hAnsi="宋体" w:cs="宋体"/>
          <w:kern w:val="0"/>
          <w:sz w:val="24"/>
        </w:rPr>
        <w:t>中</w:t>
      </w:r>
      <w:r>
        <w:rPr>
          <w:rFonts w:ascii="宋体" w:hAnsi="宋体" w:cs="宋体"/>
          <w:kern w:val="0"/>
          <w:sz w:val="24"/>
        </w:rPr>
        <w:t>9.1</w:t>
      </w:r>
      <w:r>
        <w:rPr>
          <w:rFonts w:hint="eastAsia" w:ascii="宋体" w:hAnsi="宋体" w:cs="宋体"/>
          <w:kern w:val="0"/>
          <w:sz w:val="24"/>
        </w:rPr>
        <w:t>温度监测的要求。</w:t>
      </w:r>
    </w:p>
    <w:p>
      <w:pPr>
        <w:widowControl/>
        <w:numPr>
          <w:numId w:val="0"/>
        </w:numPr>
        <w:tabs>
          <w:tab w:val="left" w:pos="360"/>
        </w:tabs>
        <w:spacing w:line="360" w:lineRule="auto"/>
        <w:ind w:leftChars="0"/>
        <w:jc w:val="left"/>
        <w:outlineLvl w:val="3"/>
        <w:rPr>
          <w:rFonts w:ascii="黑体" w:eastAsia="黑体" w:cs="宋体"/>
          <w:kern w:val="0"/>
          <w:sz w:val="24"/>
          <w:lang w:val="zh-CN"/>
        </w:rPr>
      </w:pPr>
      <w:r>
        <w:rPr>
          <w:rFonts w:hint="eastAsia" w:ascii="黑体" w:eastAsia="黑体" w:cs="宋体"/>
          <w:kern w:val="0"/>
          <w:sz w:val="24"/>
          <w:lang w:val="en-US" w:eastAsia="zh-CN"/>
        </w:rPr>
        <w:t>5.3.9</w:t>
      </w:r>
      <w:r>
        <w:rPr>
          <w:rFonts w:hint="eastAsia" w:ascii="黑体" w:eastAsia="黑体" w:cs="宋体"/>
          <w:kern w:val="0"/>
          <w:sz w:val="24"/>
          <w:lang w:val="zh-CN"/>
        </w:rPr>
        <w:t>车辆碰撞防护要求</w:t>
      </w:r>
      <w:bookmarkEnd w:id="25"/>
      <w:bookmarkEnd w:id="26"/>
    </w:p>
    <w:p>
      <w:pPr>
        <w:widowControl/>
        <w:numPr>
          <w:numId w:val="0"/>
        </w:numPr>
        <w:tabs>
          <w:tab w:val="left" w:pos="360"/>
        </w:tabs>
        <w:spacing w:line="360" w:lineRule="auto"/>
        <w:ind w:leftChars="0"/>
        <w:jc w:val="left"/>
        <w:outlineLvl w:val="3"/>
        <w:rPr>
          <w:rFonts w:ascii="宋体" w:hAnsi="宋体"/>
          <w:i/>
          <w:sz w:val="24"/>
        </w:rPr>
      </w:pPr>
      <w:r>
        <w:rPr>
          <w:rFonts w:hint="eastAsia" w:ascii="宋体" w:hAnsi="宋体"/>
          <w:i/>
          <w:sz w:val="24"/>
          <w:lang w:val="en-US" w:eastAsia="zh-CN"/>
        </w:rPr>
        <w:t>5.3.9.1</w:t>
      </w:r>
      <w:r>
        <w:rPr>
          <w:rFonts w:hint="eastAsia" w:ascii="宋体" w:hAnsi="宋体"/>
          <w:i/>
          <w:sz w:val="24"/>
        </w:rPr>
        <w:t>可充电储能系统安装后，其外围距离车辆前端面应大于等于400mm，距离车辆后端面应大于等于200 mm，距车辆左右侧围外表面应大于等于50mm。可充电储能系统安装舱体应提供能有效防止直接的机械碰撞和路面碎石伤害的防护措施，该防护措施可以为防护栏、保险杠、隔板、护罩等</w:t>
      </w:r>
      <w:r>
        <w:rPr>
          <w:rFonts w:ascii="宋体" w:hAnsi="宋体"/>
          <w:i/>
          <w:sz w:val="24"/>
        </w:rPr>
        <w:t>。</w:t>
      </w:r>
    </w:p>
    <w:p>
      <w:pPr>
        <w:widowControl/>
        <w:numPr>
          <w:numId w:val="0"/>
        </w:numPr>
        <w:tabs>
          <w:tab w:val="left" w:pos="360"/>
        </w:tabs>
        <w:spacing w:line="360" w:lineRule="auto"/>
        <w:ind w:leftChars="0"/>
        <w:jc w:val="left"/>
        <w:outlineLvl w:val="3"/>
        <w:rPr>
          <w:rFonts w:ascii="宋体" w:hAnsi="宋体"/>
          <w:i/>
          <w:sz w:val="24"/>
        </w:rPr>
      </w:pPr>
      <w:r>
        <w:rPr>
          <w:rFonts w:hint="eastAsia" w:ascii="宋体" w:hAnsi="宋体"/>
          <w:i/>
          <w:sz w:val="24"/>
          <w:lang w:val="en-US" w:eastAsia="zh-CN"/>
        </w:rPr>
        <w:t>5.3.9.2</w:t>
      </w:r>
      <w:r>
        <w:rPr>
          <w:rFonts w:ascii="宋体" w:hAnsi="宋体"/>
          <w:i/>
          <w:sz w:val="24"/>
        </w:rPr>
        <w:t>若车辆顶部</w:t>
      </w:r>
      <w:r>
        <w:rPr>
          <w:rFonts w:hint="eastAsia" w:ascii="宋体" w:hAnsi="宋体"/>
          <w:i/>
          <w:sz w:val="24"/>
        </w:rPr>
        <w:t>安装有可充电储能系统</w:t>
      </w:r>
      <w:r>
        <w:rPr>
          <w:rFonts w:ascii="宋体" w:hAnsi="宋体"/>
          <w:i/>
          <w:sz w:val="24"/>
        </w:rPr>
        <w:t>，则</w:t>
      </w:r>
      <w:r>
        <w:rPr>
          <w:rFonts w:hint="eastAsia" w:ascii="宋体" w:hAnsi="宋体"/>
          <w:i/>
          <w:sz w:val="24"/>
        </w:rPr>
        <w:t>应</w:t>
      </w:r>
      <w:r>
        <w:rPr>
          <w:rFonts w:ascii="宋体" w:hAnsi="宋体"/>
          <w:i/>
          <w:sz w:val="24"/>
        </w:rPr>
        <w:t>按照GB 244</w:t>
      </w:r>
      <w:r>
        <w:rPr>
          <w:rFonts w:hint="eastAsia" w:ascii="宋体" w:hAnsi="宋体"/>
          <w:i/>
          <w:sz w:val="24"/>
        </w:rPr>
        <w:t>0</w:t>
      </w:r>
      <w:r>
        <w:rPr>
          <w:rFonts w:ascii="宋体" w:hAnsi="宋体"/>
          <w:i/>
          <w:sz w:val="24"/>
        </w:rPr>
        <w:t>7-2012附录A</w:t>
      </w:r>
      <w:r>
        <w:rPr>
          <w:rFonts w:hint="eastAsia" w:ascii="宋体" w:hAnsi="宋体"/>
          <w:i/>
          <w:sz w:val="24"/>
        </w:rPr>
        <w:t>进行顶</w:t>
      </w:r>
      <w:r>
        <w:rPr>
          <w:rFonts w:ascii="宋体" w:hAnsi="宋体"/>
          <w:i/>
          <w:sz w:val="24"/>
        </w:rPr>
        <w:t>压试验。</w:t>
      </w:r>
    </w:p>
    <w:p>
      <w:pPr>
        <w:widowControl/>
        <w:numPr>
          <w:numId w:val="0"/>
        </w:numPr>
        <w:tabs>
          <w:tab w:val="left" w:pos="360"/>
        </w:tabs>
        <w:spacing w:line="360" w:lineRule="auto"/>
        <w:ind w:leftChars="0"/>
        <w:jc w:val="left"/>
        <w:outlineLvl w:val="3"/>
        <w:rPr>
          <w:rFonts w:ascii="宋体" w:hAnsi="宋体"/>
          <w:i/>
          <w:sz w:val="24"/>
        </w:rPr>
      </w:pPr>
      <w:r>
        <w:rPr>
          <w:rFonts w:hint="eastAsia" w:ascii="宋体" w:hAnsi="宋体"/>
          <w:i/>
          <w:sz w:val="24"/>
          <w:lang w:val="en-US" w:eastAsia="zh-CN"/>
        </w:rPr>
        <w:t>5.3.9.3</w:t>
      </w:r>
      <w:r>
        <w:rPr>
          <w:rFonts w:hint="eastAsia" w:ascii="宋体" w:hAnsi="宋体"/>
          <w:i/>
          <w:sz w:val="24"/>
        </w:rPr>
        <w:t>若有可充电储能系统未安装在车辆顶部，且其位置不符合</w:t>
      </w:r>
      <w:r>
        <w:rPr>
          <w:rFonts w:ascii="宋体" w:hAnsi="宋体"/>
          <w:i/>
          <w:sz w:val="24"/>
        </w:rPr>
        <w:t>4.</w:t>
      </w:r>
      <w:r>
        <w:rPr>
          <w:rFonts w:hint="eastAsia" w:ascii="宋体" w:hAnsi="宋体"/>
          <w:i/>
          <w:sz w:val="24"/>
        </w:rPr>
        <w:t>9</w:t>
      </w:r>
      <w:r>
        <w:rPr>
          <w:rFonts w:ascii="宋体" w:hAnsi="宋体"/>
          <w:i/>
          <w:sz w:val="24"/>
        </w:rPr>
        <w:t>.</w:t>
      </w:r>
      <w:r>
        <w:rPr>
          <w:rFonts w:hint="eastAsia" w:ascii="宋体" w:hAnsi="宋体"/>
          <w:i/>
          <w:sz w:val="24"/>
        </w:rPr>
        <w:t>1</w:t>
      </w:r>
      <w:r>
        <w:rPr>
          <w:rFonts w:ascii="宋体" w:hAnsi="宋体"/>
          <w:i/>
          <w:sz w:val="24"/>
        </w:rPr>
        <w:t>要求，则</w:t>
      </w:r>
      <w:r>
        <w:rPr>
          <w:rFonts w:hint="eastAsia" w:ascii="宋体" w:hAnsi="宋体"/>
          <w:i/>
          <w:sz w:val="24"/>
        </w:rPr>
        <w:t>应</w:t>
      </w:r>
      <w:r>
        <w:rPr>
          <w:rFonts w:ascii="宋体" w:hAnsi="宋体"/>
          <w:i/>
          <w:sz w:val="24"/>
        </w:rPr>
        <w:t>按照附录A</w:t>
      </w:r>
      <w:r>
        <w:rPr>
          <w:rFonts w:hint="eastAsia" w:ascii="宋体" w:hAnsi="宋体"/>
          <w:i/>
          <w:sz w:val="24"/>
        </w:rPr>
        <w:t>进行</w:t>
      </w:r>
      <w:r>
        <w:rPr>
          <w:rFonts w:ascii="宋体" w:hAnsi="宋体"/>
          <w:i/>
          <w:sz w:val="24"/>
        </w:rPr>
        <w:t>碰撞试验</w:t>
      </w:r>
      <w:r>
        <w:rPr>
          <w:rFonts w:hint="eastAsia" w:ascii="宋体" w:hAnsi="宋体"/>
          <w:i/>
          <w:sz w:val="24"/>
        </w:rPr>
        <w:t>。</w:t>
      </w:r>
    </w:p>
    <w:p>
      <w:pPr>
        <w:widowControl/>
        <w:numPr>
          <w:numId w:val="0"/>
        </w:numPr>
        <w:tabs>
          <w:tab w:val="left" w:pos="360"/>
        </w:tabs>
        <w:spacing w:line="360" w:lineRule="auto"/>
        <w:ind w:leftChars="0"/>
        <w:jc w:val="left"/>
        <w:outlineLvl w:val="3"/>
        <w:rPr>
          <w:sz w:val="24"/>
        </w:rPr>
      </w:pPr>
      <w:r>
        <w:rPr>
          <w:rFonts w:hint="eastAsia" w:ascii="宋体" w:hAnsi="宋体"/>
          <w:i/>
          <w:sz w:val="24"/>
          <w:lang w:val="en-US" w:eastAsia="zh-CN"/>
        </w:rPr>
        <w:t>5.3.9.4</w:t>
      </w:r>
      <w:r>
        <w:rPr>
          <w:rFonts w:ascii="宋体" w:hAnsi="宋体"/>
          <w:i/>
          <w:sz w:val="24"/>
        </w:rPr>
        <w:t>车辆</w:t>
      </w:r>
      <w:r>
        <w:rPr>
          <w:rFonts w:hint="eastAsia" w:ascii="宋体" w:hAnsi="宋体"/>
          <w:i/>
          <w:sz w:val="24"/>
        </w:rPr>
        <w:t>在</w:t>
      </w:r>
      <w:r>
        <w:rPr>
          <w:rFonts w:ascii="宋体" w:hAnsi="宋体"/>
          <w:i/>
          <w:sz w:val="24"/>
        </w:rPr>
        <w:t>碰撞和顶压</w:t>
      </w:r>
      <w:r>
        <w:rPr>
          <w:rFonts w:hint="eastAsia" w:ascii="宋体" w:hAnsi="宋体"/>
          <w:i/>
          <w:sz w:val="24"/>
        </w:rPr>
        <w:t>试验后</w:t>
      </w:r>
      <w:r>
        <w:rPr>
          <w:rFonts w:ascii="宋体" w:hAnsi="宋体"/>
          <w:i/>
          <w:sz w:val="24"/>
        </w:rPr>
        <w:t>应符合GB/T 31498中4.2</w:t>
      </w:r>
      <w:r>
        <w:rPr>
          <w:rFonts w:hint="eastAsia" w:ascii="宋体" w:hAnsi="宋体"/>
          <w:i/>
          <w:sz w:val="24"/>
        </w:rPr>
        <w:t>～</w:t>
      </w:r>
      <w:r>
        <w:rPr>
          <w:rFonts w:ascii="宋体" w:hAnsi="宋体"/>
          <w:i/>
          <w:sz w:val="24"/>
        </w:rPr>
        <w:t>4.4</w:t>
      </w:r>
      <w:r>
        <w:rPr>
          <w:rFonts w:hint="eastAsia" w:ascii="宋体" w:hAnsi="宋体"/>
          <w:i/>
          <w:sz w:val="24"/>
        </w:rPr>
        <w:t>的</w:t>
      </w:r>
      <w:r>
        <w:rPr>
          <w:rFonts w:ascii="宋体" w:hAnsi="宋体"/>
          <w:i/>
          <w:sz w:val="24"/>
        </w:rPr>
        <w:t>要求</w:t>
      </w:r>
      <w:r>
        <w:rPr>
          <w:rFonts w:hint="eastAsia" w:ascii="宋体" w:hAnsi="宋体"/>
          <w:sz w:val="24"/>
        </w:rPr>
        <w:t>。</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说明：</w:t>
      </w:r>
    </w:p>
    <w:p>
      <w:pPr>
        <w:widowControl/>
        <w:spacing w:line="360" w:lineRule="auto"/>
        <w:jc w:val="left"/>
        <w:rPr>
          <w:rFonts w:ascii="宋体" w:hAnsi="宋体" w:cs="宋体"/>
          <w:kern w:val="0"/>
          <w:sz w:val="24"/>
        </w:rPr>
      </w:pPr>
      <w:r>
        <w:rPr>
          <w:rFonts w:hint="eastAsia" w:ascii="宋体" w:hAnsi="宋体" w:cs="宋体"/>
          <w:kern w:val="0"/>
          <w:sz w:val="24"/>
        </w:rPr>
        <w:t>（1）对于可充电储能系统安装位置不满足要求的，为了确保其安全性，参照</w:t>
      </w:r>
      <w:r>
        <w:rPr>
          <w:rFonts w:ascii="宋体" w:hAnsi="宋体" w:cs="宋体"/>
          <w:kern w:val="0"/>
          <w:sz w:val="24"/>
        </w:rPr>
        <w:t>GB/T 31498</w:t>
      </w:r>
      <w:r>
        <w:rPr>
          <w:rFonts w:hint="eastAsia" w:ascii="宋体" w:hAnsi="宋体" w:cs="宋体"/>
          <w:kern w:val="0"/>
          <w:sz w:val="24"/>
        </w:rPr>
        <w:t>规定了碰撞后的安全要求</w:t>
      </w:r>
      <w:r>
        <w:rPr>
          <w:rFonts w:ascii="宋体" w:hAnsi="宋体" w:cs="宋体"/>
          <w:kern w:val="0"/>
          <w:sz w:val="24"/>
        </w:rPr>
        <w:t>。</w:t>
      </w:r>
    </w:p>
    <w:p>
      <w:pPr>
        <w:widowControl/>
        <w:spacing w:line="360" w:lineRule="auto"/>
        <w:jc w:val="left"/>
        <w:rPr>
          <w:rFonts w:ascii="宋体" w:hAnsi="宋体" w:cs="宋体"/>
          <w:kern w:val="0"/>
          <w:sz w:val="24"/>
        </w:rPr>
      </w:pPr>
      <w:r>
        <w:rPr>
          <w:rFonts w:hint="eastAsia" w:ascii="宋体" w:hAnsi="宋体" w:cs="宋体"/>
          <w:kern w:val="0"/>
          <w:sz w:val="24"/>
        </w:rPr>
        <w:t>（2）本条规定了可充电储能系统在整车中的安装位置及基本的防护措施，发生正碰、后碰、侧碰等事故时，规定区域为相对较安全的区域，保护可充电储能系统在上述碰撞事故中不会受到强烈冲击和挤压，降低可充电储能系统出现起火、爆炸等风险，提升整车安全性。</w:t>
      </w:r>
    </w:p>
    <w:p>
      <w:pPr>
        <w:widowControl/>
        <w:numPr>
          <w:numId w:val="0"/>
        </w:numPr>
        <w:tabs>
          <w:tab w:val="left" w:pos="360"/>
        </w:tabs>
        <w:spacing w:line="360" w:lineRule="auto"/>
        <w:ind w:leftChars="0"/>
        <w:jc w:val="left"/>
        <w:outlineLvl w:val="3"/>
        <w:rPr>
          <w:sz w:val="24"/>
        </w:rPr>
      </w:pPr>
      <w:bookmarkStart w:id="33" w:name="_Toc450670919"/>
      <w:r>
        <w:rPr>
          <w:rFonts w:hint="eastAsia"/>
          <w:sz w:val="24"/>
          <w:lang w:val="en-US" w:eastAsia="zh-CN"/>
        </w:rPr>
        <w:t>5.3.10</w:t>
      </w:r>
      <w:r>
        <w:rPr>
          <w:rFonts w:hint="eastAsia"/>
          <w:sz w:val="24"/>
        </w:rPr>
        <w:t>整车</w:t>
      </w:r>
    </w:p>
    <w:p>
      <w:pPr>
        <w:widowControl/>
        <w:numPr>
          <w:numId w:val="0"/>
        </w:numPr>
        <w:tabs>
          <w:tab w:val="left" w:pos="360"/>
        </w:tabs>
        <w:spacing w:line="360" w:lineRule="auto"/>
        <w:ind w:leftChars="0"/>
        <w:jc w:val="left"/>
        <w:outlineLvl w:val="3"/>
        <w:rPr>
          <w:rFonts w:ascii="宋体" w:hAnsi="宋体"/>
          <w:sz w:val="24"/>
        </w:rPr>
      </w:pPr>
      <w:r>
        <w:rPr>
          <w:rFonts w:hint="eastAsia" w:ascii="宋体" w:hAnsi="宋体"/>
          <w:i/>
          <w:sz w:val="24"/>
          <w:lang w:val="en-US" w:eastAsia="zh-CN"/>
        </w:rPr>
        <w:t>5.3.10.1</w:t>
      </w:r>
      <w:r>
        <w:rPr>
          <w:rFonts w:hint="eastAsia" w:ascii="宋体" w:hAnsi="宋体"/>
          <w:i/>
          <w:sz w:val="24"/>
        </w:rPr>
        <w:t>整车应为全承载整体式骨架结构</w:t>
      </w:r>
      <w:r>
        <w:rPr>
          <w:rFonts w:hint="eastAsia" w:ascii="宋体" w:hAnsi="宋体"/>
          <w:sz w:val="24"/>
        </w:rPr>
        <w:t>。</w:t>
      </w:r>
    </w:p>
    <w:p>
      <w:pPr>
        <w:widowControl/>
        <w:numPr>
          <w:numId w:val="0"/>
        </w:numPr>
        <w:spacing w:before="50" w:after="50" w:line="360" w:lineRule="auto"/>
        <w:ind w:firstLine="480" w:firstLineChars="200"/>
        <w:jc w:val="left"/>
        <w:outlineLvl w:val="4"/>
        <w:rPr>
          <w:sz w:val="24"/>
        </w:rPr>
      </w:pPr>
      <w:r>
        <w:rPr>
          <w:rFonts w:hint="eastAsia"/>
          <w:sz w:val="24"/>
        </w:rPr>
        <w:t>说明：关于车身刚度、强度和结构要求，本文件引用了GB 17578、GB 13094、GB18986和GB/T 19950等相关标准。另外，为保证安全性，将使用全承载结构的车型范围比GB 7258-2012进行了扩大。</w:t>
      </w:r>
    </w:p>
    <w:p>
      <w:pPr>
        <w:widowControl/>
        <w:numPr>
          <w:numId w:val="0"/>
        </w:numPr>
        <w:tabs>
          <w:tab w:val="left" w:pos="360"/>
        </w:tabs>
        <w:spacing w:line="360" w:lineRule="auto"/>
        <w:ind w:leftChars="0"/>
        <w:jc w:val="left"/>
        <w:outlineLvl w:val="3"/>
        <w:rPr>
          <w:rFonts w:ascii="宋体" w:hAnsi="宋体"/>
          <w:i/>
          <w:sz w:val="24"/>
        </w:rPr>
      </w:pPr>
      <w:r>
        <w:rPr>
          <w:rFonts w:hint="eastAsia" w:ascii="宋体" w:hAnsi="宋体"/>
          <w:i/>
          <w:sz w:val="24"/>
          <w:lang w:val="en-US" w:eastAsia="zh-CN"/>
        </w:rPr>
        <w:t>5.3.10.2</w:t>
      </w:r>
      <w:r>
        <w:rPr>
          <w:rFonts w:hint="eastAsia" w:ascii="宋体" w:hAnsi="宋体"/>
          <w:i/>
          <w:sz w:val="24"/>
        </w:rPr>
        <w:t>每个分隔舱的出口最少数量应符合表2的规定。但卫生间或烹调间不视为分隔舱。不论撤离舱口数量有多少，只能计为一个应急出口。</w:t>
      </w:r>
    </w:p>
    <w:p>
      <w:pPr>
        <w:pStyle w:val="52"/>
        <w:tabs>
          <w:tab w:val="left" w:pos="360"/>
        </w:tabs>
        <w:spacing w:before="156" w:after="156"/>
        <w:rPr>
          <w:rFonts w:ascii="宋体" w:hAnsi="宋体" w:eastAsia="宋体"/>
          <w:i/>
          <w:sz w:val="24"/>
          <w:szCs w:val="24"/>
        </w:rPr>
      </w:pPr>
      <w:r>
        <w:rPr>
          <w:rFonts w:hint="eastAsia" w:ascii="宋体" w:hAnsi="宋体" w:eastAsia="宋体"/>
          <w:i/>
          <w:sz w:val="24"/>
          <w:szCs w:val="24"/>
        </w:rPr>
        <w:t>出口的最少数量</w:t>
      </w:r>
    </w:p>
    <w:tbl>
      <w:tblPr>
        <w:tblStyle w:val="18"/>
        <w:tblW w:w="8363" w:type="dxa"/>
        <w:tblInd w:w="1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6"/>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 w:hRule="atLeast"/>
        </w:trPr>
        <w:tc>
          <w:tcPr>
            <w:tcW w:w="5386" w:type="dxa"/>
            <w:vAlign w:val="top"/>
          </w:tcPr>
          <w:p>
            <w:pPr>
              <w:jc w:val="center"/>
              <w:rPr>
                <w:rFonts w:ascii="宋体" w:hAnsi="宋体"/>
                <w:i/>
                <w:sz w:val="24"/>
              </w:rPr>
            </w:pPr>
            <w:r>
              <w:rPr>
                <w:rFonts w:hint="eastAsia" w:ascii="宋体" w:hAnsi="宋体"/>
                <w:i/>
                <w:sz w:val="24"/>
              </w:rPr>
              <w:t>乘客及车组人员的数量（个）</w:t>
            </w:r>
          </w:p>
        </w:tc>
        <w:tc>
          <w:tcPr>
            <w:tcW w:w="2977" w:type="dxa"/>
            <w:vAlign w:val="top"/>
          </w:tcPr>
          <w:p>
            <w:pPr>
              <w:jc w:val="center"/>
              <w:rPr>
                <w:rFonts w:ascii="宋体" w:hAnsi="宋体"/>
                <w:i/>
                <w:sz w:val="24"/>
              </w:rPr>
            </w:pPr>
            <w:r>
              <w:rPr>
                <w:rFonts w:hint="eastAsia" w:ascii="宋体" w:hAnsi="宋体"/>
                <w:i/>
                <w:sz w:val="24"/>
              </w:rPr>
              <w:t>出口的最少数量（个）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 w:hRule="atLeast"/>
        </w:trPr>
        <w:tc>
          <w:tcPr>
            <w:tcW w:w="5386" w:type="dxa"/>
            <w:vAlign w:val="top"/>
          </w:tcPr>
          <w:p>
            <w:pPr>
              <w:jc w:val="center"/>
              <w:rPr>
                <w:rFonts w:ascii="宋体" w:hAnsi="宋体"/>
                <w:i/>
                <w:sz w:val="24"/>
              </w:rPr>
            </w:pPr>
            <w:r>
              <w:rPr>
                <w:rFonts w:hint="eastAsia" w:ascii="宋体" w:hAnsi="宋体"/>
                <w:i/>
                <w:sz w:val="24"/>
              </w:rPr>
              <w:t>1～8</w:t>
            </w:r>
          </w:p>
        </w:tc>
        <w:tc>
          <w:tcPr>
            <w:tcW w:w="2977" w:type="dxa"/>
            <w:vAlign w:val="top"/>
          </w:tcPr>
          <w:p>
            <w:pPr>
              <w:jc w:val="center"/>
              <w:rPr>
                <w:rFonts w:ascii="宋体" w:hAnsi="宋体"/>
                <w:i/>
                <w:sz w:val="24"/>
              </w:rPr>
            </w:pPr>
            <w:r>
              <w:rPr>
                <w:rFonts w:hint="eastAsia" w:ascii="宋体" w:hAnsi="宋体"/>
                <w:i/>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 w:hRule="atLeast"/>
        </w:trPr>
        <w:tc>
          <w:tcPr>
            <w:tcW w:w="5386" w:type="dxa"/>
            <w:vAlign w:val="top"/>
          </w:tcPr>
          <w:p>
            <w:pPr>
              <w:jc w:val="center"/>
              <w:rPr>
                <w:rFonts w:ascii="宋体" w:hAnsi="宋体"/>
                <w:i/>
                <w:sz w:val="24"/>
              </w:rPr>
            </w:pPr>
            <w:r>
              <w:rPr>
                <w:rFonts w:hint="eastAsia" w:ascii="宋体" w:hAnsi="宋体"/>
                <w:i/>
                <w:sz w:val="24"/>
              </w:rPr>
              <w:t>9～16</w:t>
            </w:r>
          </w:p>
        </w:tc>
        <w:tc>
          <w:tcPr>
            <w:tcW w:w="2977" w:type="dxa"/>
            <w:vAlign w:val="top"/>
          </w:tcPr>
          <w:p>
            <w:pPr>
              <w:jc w:val="center"/>
              <w:rPr>
                <w:rFonts w:ascii="宋体" w:hAnsi="宋体"/>
                <w:i/>
                <w:sz w:val="24"/>
              </w:rPr>
            </w:pPr>
            <w:r>
              <w:rPr>
                <w:rFonts w:hint="eastAsia" w:ascii="宋体" w:hAnsi="宋体"/>
                <w:i/>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 w:hRule="atLeast"/>
        </w:trPr>
        <w:tc>
          <w:tcPr>
            <w:tcW w:w="5386" w:type="dxa"/>
            <w:vAlign w:val="top"/>
          </w:tcPr>
          <w:p>
            <w:pPr>
              <w:jc w:val="center"/>
              <w:rPr>
                <w:rFonts w:ascii="宋体" w:hAnsi="宋体"/>
                <w:i/>
                <w:sz w:val="24"/>
              </w:rPr>
            </w:pPr>
            <w:r>
              <w:rPr>
                <w:rFonts w:hint="eastAsia" w:ascii="宋体" w:hAnsi="宋体"/>
                <w:i/>
                <w:sz w:val="24"/>
              </w:rPr>
              <w:t>17～30</w:t>
            </w:r>
          </w:p>
        </w:tc>
        <w:tc>
          <w:tcPr>
            <w:tcW w:w="2977" w:type="dxa"/>
            <w:vAlign w:val="top"/>
          </w:tcPr>
          <w:p>
            <w:pPr>
              <w:jc w:val="center"/>
              <w:rPr>
                <w:rFonts w:ascii="宋体" w:hAnsi="宋体"/>
                <w:i/>
                <w:sz w:val="24"/>
              </w:rPr>
            </w:pPr>
            <w:r>
              <w:rPr>
                <w:rFonts w:hint="eastAsia" w:ascii="宋体" w:hAnsi="宋体"/>
                <w:i/>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 w:hRule="atLeast"/>
        </w:trPr>
        <w:tc>
          <w:tcPr>
            <w:tcW w:w="5386" w:type="dxa"/>
            <w:vAlign w:val="top"/>
          </w:tcPr>
          <w:p>
            <w:pPr>
              <w:jc w:val="center"/>
              <w:rPr>
                <w:rFonts w:ascii="宋体" w:hAnsi="宋体"/>
                <w:i/>
                <w:sz w:val="24"/>
              </w:rPr>
            </w:pPr>
            <w:r>
              <w:rPr>
                <w:rFonts w:hint="eastAsia" w:ascii="宋体" w:hAnsi="宋体"/>
                <w:i/>
                <w:sz w:val="24"/>
              </w:rPr>
              <w:t>31～45</w:t>
            </w:r>
          </w:p>
        </w:tc>
        <w:tc>
          <w:tcPr>
            <w:tcW w:w="2977" w:type="dxa"/>
            <w:vAlign w:val="top"/>
          </w:tcPr>
          <w:p>
            <w:pPr>
              <w:jc w:val="center"/>
              <w:rPr>
                <w:rFonts w:ascii="宋体" w:hAnsi="宋体"/>
                <w:i/>
                <w:sz w:val="24"/>
              </w:rPr>
            </w:pPr>
            <w:r>
              <w:rPr>
                <w:rFonts w:hint="eastAsia" w:ascii="宋体" w:hAnsi="宋体"/>
                <w:i/>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 w:hRule="atLeast"/>
        </w:trPr>
        <w:tc>
          <w:tcPr>
            <w:tcW w:w="5386" w:type="dxa"/>
            <w:vAlign w:val="top"/>
          </w:tcPr>
          <w:p>
            <w:pPr>
              <w:jc w:val="center"/>
              <w:rPr>
                <w:rFonts w:ascii="宋体" w:hAnsi="宋体"/>
                <w:i/>
                <w:sz w:val="24"/>
              </w:rPr>
            </w:pPr>
            <w:r>
              <w:rPr>
                <w:rFonts w:hint="eastAsia" w:ascii="宋体" w:hAnsi="宋体"/>
                <w:i/>
                <w:sz w:val="24"/>
              </w:rPr>
              <w:t>46～60</w:t>
            </w:r>
          </w:p>
        </w:tc>
        <w:tc>
          <w:tcPr>
            <w:tcW w:w="2977" w:type="dxa"/>
            <w:vAlign w:val="top"/>
          </w:tcPr>
          <w:p>
            <w:pPr>
              <w:jc w:val="center"/>
              <w:rPr>
                <w:rFonts w:ascii="宋体" w:hAnsi="宋体"/>
                <w:i/>
                <w:sz w:val="24"/>
              </w:rPr>
            </w:pPr>
            <w:r>
              <w:rPr>
                <w:rFonts w:hint="eastAsia" w:ascii="宋体" w:hAnsi="宋体"/>
                <w:i/>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 w:hRule="atLeast"/>
        </w:trPr>
        <w:tc>
          <w:tcPr>
            <w:tcW w:w="5386" w:type="dxa"/>
            <w:vAlign w:val="top"/>
          </w:tcPr>
          <w:p>
            <w:pPr>
              <w:jc w:val="center"/>
              <w:rPr>
                <w:rFonts w:ascii="宋体" w:hAnsi="宋体"/>
                <w:i/>
                <w:sz w:val="24"/>
              </w:rPr>
            </w:pPr>
            <w:r>
              <w:rPr>
                <w:rFonts w:hint="eastAsia" w:ascii="宋体" w:hAnsi="宋体"/>
                <w:i/>
                <w:sz w:val="24"/>
              </w:rPr>
              <w:t>61～75</w:t>
            </w:r>
          </w:p>
        </w:tc>
        <w:tc>
          <w:tcPr>
            <w:tcW w:w="2977" w:type="dxa"/>
            <w:vAlign w:val="top"/>
          </w:tcPr>
          <w:p>
            <w:pPr>
              <w:jc w:val="center"/>
              <w:rPr>
                <w:rFonts w:ascii="宋体" w:hAnsi="宋体"/>
                <w:i/>
                <w:sz w:val="24"/>
              </w:rPr>
            </w:pPr>
            <w:r>
              <w:rPr>
                <w:rFonts w:hint="eastAsia" w:ascii="宋体" w:hAnsi="宋体"/>
                <w:i/>
                <w:sz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 w:hRule="atLeast"/>
        </w:trPr>
        <w:tc>
          <w:tcPr>
            <w:tcW w:w="5386" w:type="dxa"/>
            <w:vAlign w:val="top"/>
          </w:tcPr>
          <w:p>
            <w:pPr>
              <w:jc w:val="center"/>
              <w:rPr>
                <w:rFonts w:ascii="宋体" w:hAnsi="宋体"/>
                <w:i/>
                <w:sz w:val="24"/>
              </w:rPr>
            </w:pPr>
            <w:r>
              <w:rPr>
                <w:rFonts w:hint="eastAsia" w:ascii="宋体" w:hAnsi="宋体"/>
                <w:i/>
                <w:sz w:val="24"/>
              </w:rPr>
              <w:t>76～90</w:t>
            </w:r>
          </w:p>
        </w:tc>
        <w:tc>
          <w:tcPr>
            <w:tcW w:w="2977" w:type="dxa"/>
            <w:vAlign w:val="top"/>
          </w:tcPr>
          <w:p>
            <w:pPr>
              <w:jc w:val="center"/>
              <w:rPr>
                <w:rFonts w:ascii="宋体" w:hAnsi="宋体"/>
                <w:i/>
                <w:sz w:val="24"/>
              </w:rPr>
            </w:pPr>
            <w:r>
              <w:rPr>
                <w:rFonts w:hint="eastAsia" w:ascii="宋体" w:hAnsi="宋体"/>
                <w:i/>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 w:hRule="atLeast"/>
        </w:trPr>
        <w:tc>
          <w:tcPr>
            <w:tcW w:w="5386" w:type="dxa"/>
            <w:vAlign w:val="top"/>
          </w:tcPr>
          <w:p>
            <w:pPr>
              <w:jc w:val="center"/>
              <w:rPr>
                <w:rFonts w:ascii="宋体" w:hAnsi="宋体"/>
                <w:i/>
                <w:sz w:val="24"/>
              </w:rPr>
            </w:pPr>
            <w:r>
              <w:rPr>
                <w:rFonts w:hint="eastAsia" w:ascii="宋体" w:hAnsi="宋体"/>
                <w:i/>
                <w:sz w:val="24"/>
              </w:rPr>
              <w:t>91～110</w:t>
            </w:r>
          </w:p>
        </w:tc>
        <w:tc>
          <w:tcPr>
            <w:tcW w:w="2977" w:type="dxa"/>
            <w:vAlign w:val="top"/>
          </w:tcPr>
          <w:p>
            <w:pPr>
              <w:jc w:val="center"/>
              <w:rPr>
                <w:rFonts w:ascii="宋体" w:hAnsi="宋体"/>
                <w:i/>
                <w:sz w:val="24"/>
              </w:rPr>
            </w:pPr>
            <w:r>
              <w:rPr>
                <w:rFonts w:hint="eastAsia" w:ascii="宋体" w:hAnsi="宋体"/>
                <w:i/>
                <w:sz w:val="24"/>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 w:hRule="atLeast"/>
        </w:trPr>
        <w:tc>
          <w:tcPr>
            <w:tcW w:w="5386" w:type="dxa"/>
            <w:vAlign w:val="top"/>
          </w:tcPr>
          <w:p>
            <w:pPr>
              <w:jc w:val="center"/>
              <w:rPr>
                <w:rFonts w:ascii="宋体" w:hAnsi="宋体"/>
                <w:i/>
                <w:sz w:val="24"/>
              </w:rPr>
            </w:pPr>
            <w:r>
              <w:rPr>
                <w:rFonts w:hint="eastAsia" w:ascii="宋体" w:hAnsi="宋体"/>
                <w:i/>
                <w:sz w:val="24"/>
              </w:rPr>
              <w:t>111～130</w:t>
            </w:r>
          </w:p>
        </w:tc>
        <w:tc>
          <w:tcPr>
            <w:tcW w:w="2977" w:type="dxa"/>
            <w:vAlign w:val="top"/>
          </w:tcPr>
          <w:p>
            <w:pPr>
              <w:jc w:val="center"/>
              <w:rPr>
                <w:rFonts w:ascii="宋体" w:hAnsi="宋体"/>
                <w:i/>
                <w:sz w:val="24"/>
              </w:rPr>
            </w:pPr>
            <w:r>
              <w:rPr>
                <w:rFonts w:hint="eastAsia" w:ascii="宋体" w:hAnsi="宋体"/>
                <w:i/>
                <w:sz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trPr>
        <w:tc>
          <w:tcPr>
            <w:tcW w:w="5386" w:type="dxa"/>
            <w:vAlign w:val="top"/>
          </w:tcPr>
          <w:p>
            <w:pPr>
              <w:jc w:val="center"/>
              <w:rPr>
                <w:rFonts w:ascii="宋体" w:hAnsi="宋体"/>
                <w:i/>
                <w:sz w:val="24"/>
              </w:rPr>
            </w:pPr>
            <w:r>
              <w:rPr>
                <w:rFonts w:hint="eastAsia" w:ascii="宋体" w:hAnsi="宋体"/>
                <w:i/>
                <w:sz w:val="24"/>
              </w:rPr>
              <w:t>＞130</w:t>
            </w:r>
          </w:p>
        </w:tc>
        <w:tc>
          <w:tcPr>
            <w:tcW w:w="2977" w:type="dxa"/>
            <w:vAlign w:val="top"/>
          </w:tcPr>
          <w:p>
            <w:pPr>
              <w:jc w:val="center"/>
              <w:rPr>
                <w:rFonts w:ascii="宋体" w:hAnsi="宋体"/>
                <w:i/>
                <w:sz w:val="24"/>
              </w:rPr>
            </w:pPr>
            <w:r>
              <w:rPr>
                <w:rFonts w:hint="eastAsia" w:ascii="宋体" w:hAnsi="宋体"/>
                <w:i/>
                <w:sz w:val="24"/>
              </w:rPr>
              <w:t>13</w:t>
            </w:r>
          </w:p>
        </w:tc>
      </w:tr>
    </w:tbl>
    <w:p>
      <w:pPr>
        <w:widowControl/>
        <w:numPr>
          <w:numId w:val="0"/>
        </w:numPr>
        <w:spacing w:before="50" w:after="50" w:line="360" w:lineRule="auto"/>
        <w:ind w:firstLine="480" w:firstLineChars="200"/>
        <w:jc w:val="left"/>
        <w:outlineLvl w:val="4"/>
        <w:rPr>
          <w:rFonts w:ascii="宋体"/>
          <w:kern w:val="0"/>
          <w:sz w:val="24"/>
        </w:rPr>
      </w:pPr>
      <w:r>
        <w:rPr>
          <w:rFonts w:hint="eastAsia"/>
          <w:sz w:val="24"/>
        </w:rPr>
        <w:t>说明：</w:t>
      </w:r>
      <w:r>
        <w:rPr>
          <w:rFonts w:hint="eastAsia" w:ascii="宋体"/>
          <w:kern w:val="0"/>
          <w:sz w:val="24"/>
        </w:rPr>
        <w:t>对于出口的数量提出了新的要求，比现有的GB 13094和ECE R107均进行了提高（其中17-30人增加1个出口，31人及以上各人数段各增加2个出口）。</w:t>
      </w:r>
    </w:p>
    <w:p>
      <w:pPr>
        <w:widowControl/>
        <w:numPr>
          <w:numId w:val="0"/>
        </w:numPr>
        <w:tabs>
          <w:tab w:val="left" w:pos="360"/>
        </w:tabs>
        <w:spacing w:line="360" w:lineRule="auto"/>
        <w:ind w:leftChars="0"/>
        <w:jc w:val="left"/>
        <w:outlineLvl w:val="3"/>
        <w:rPr>
          <w:rFonts w:ascii="宋体" w:hAnsi="宋体"/>
          <w:i/>
          <w:sz w:val="24"/>
        </w:rPr>
      </w:pPr>
      <w:r>
        <w:rPr>
          <w:rFonts w:hint="eastAsia" w:ascii="宋体" w:hAnsi="宋体"/>
          <w:i/>
          <w:sz w:val="24"/>
          <w:lang w:val="en-US" w:eastAsia="zh-CN"/>
        </w:rPr>
        <w:t>5.3.10.3</w:t>
      </w:r>
      <w:r>
        <w:rPr>
          <w:rFonts w:hint="eastAsia" w:ascii="宋体" w:hAnsi="宋体"/>
          <w:i/>
          <w:sz w:val="24"/>
        </w:rPr>
        <w:t>在确定出口的最小数量和位置时，铰接客车的每一刚性段应视为一个单车。铰接段之间的连接通道不视为出口。车辆处于直行状态，通过连接两个刚性段的铰链水平轴，并与客车纵轴相垂直的平面应视为两个刚性段的边界。</w:t>
      </w:r>
    </w:p>
    <w:p>
      <w:pPr>
        <w:spacing w:line="360" w:lineRule="auto"/>
        <w:ind w:firstLine="480" w:firstLineChars="200"/>
        <w:rPr>
          <w:sz w:val="24"/>
        </w:rPr>
      </w:pPr>
      <w:r>
        <w:rPr>
          <w:rFonts w:hint="eastAsia" w:ascii="宋体"/>
          <w:kern w:val="0"/>
          <w:sz w:val="24"/>
        </w:rPr>
        <w:t>说明：本条内容是对铰接客车出口数量计算方法的规定，同GB 13094和ECE R107。</w:t>
      </w:r>
    </w:p>
    <w:p>
      <w:pPr>
        <w:widowControl/>
        <w:numPr>
          <w:numId w:val="0"/>
        </w:numPr>
        <w:tabs>
          <w:tab w:val="left" w:pos="360"/>
        </w:tabs>
        <w:spacing w:line="360" w:lineRule="auto"/>
        <w:ind w:leftChars="0"/>
        <w:jc w:val="left"/>
        <w:outlineLvl w:val="3"/>
        <w:rPr>
          <w:rFonts w:ascii="宋体" w:hAnsi="宋体"/>
          <w:i/>
          <w:sz w:val="24"/>
        </w:rPr>
      </w:pPr>
      <w:r>
        <w:rPr>
          <w:rFonts w:hint="eastAsia" w:ascii="宋体" w:hAnsi="宋体"/>
          <w:i/>
          <w:sz w:val="24"/>
          <w:lang w:val="en-US" w:eastAsia="zh-CN"/>
        </w:rPr>
        <w:t>5.3.10.4</w:t>
      </w:r>
      <w:r>
        <w:rPr>
          <w:rFonts w:hint="eastAsia" w:ascii="宋体" w:hAnsi="宋体"/>
          <w:i/>
          <w:sz w:val="24"/>
        </w:rPr>
        <w:t>撤离舱口距可能给使用撤离舱口的乘客带来危险的设备（如B级电压系统等）应大于等于 100mm，否则应加以隔离。</w:t>
      </w:r>
    </w:p>
    <w:p>
      <w:pPr>
        <w:spacing w:line="360" w:lineRule="auto"/>
        <w:ind w:firstLine="480" w:firstLineChars="200"/>
        <w:rPr>
          <w:sz w:val="24"/>
        </w:rPr>
      </w:pPr>
      <w:r>
        <w:rPr>
          <w:rFonts w:hint="eastAsia"/>
          <w:sz w:val="24"/>
        </w:rPr>
        <w:t>说明：对于出口的位置，考虑到车顶有可能布置带有高压系统的设备，因此对撤离舱口与此设备的距离提出了要求。</w:t>
      </w:r>
    </w:p>
    <w:p>
      <w:pPr>
        <w:widowControl/>
        <w:numPr>
          <w:numId w:val="0"/>
        </w:numPr>
        <w:tabs>
          <w:tab w:val="left" w:pos="360"/>
        </w:tabs>
        <w:spacing w:line="360" w:lineRule="auto"/>
        <w:ind w:leftChars="0"/>
        <w:jc w:val="left"/>
        <w:outlineLvl w:val="3"/>
        <w:rPr>
          <w:rFonts w:ascii="宋体" w:hAnsi="宋体"/>
          <w:i/>
          <w:sz w:val="24"/>
        </w:rPr>
      </w:pPr>
      <w:r>
        <w:rPr>
          <w:rFonts w:hint="eastAsia" w:ascii="宋体" w:hAnsi="宋体"/>
          <w:i/>
          <w:sz w:val="24"/>
          <w:lang w:val="en-US" w:eastAsia="zh-CN"/>
        </w:rPr>
        <w:t>5.3.10.5</w:t>
      </w:r>
      <w:r>
        <w:rPr>
          <w:rFonts w:hint="eastAsia" w:ascii="宋体" w:hAnsi="宋体"/>
          <w:i/>
          <w:sz w:val="24"/>
        </w:rPr>
        <w:t>操作乘客门应急控制器 8s 内应使乘客门自动打开或用手轻易打开到相应的乘客门引道量规能通过的宽度。</w:t>
      </w:r>
      <w:bookmarkStart w:id="34" w:name="_Toc451156681"/>
    </w:p>
    <w:p>
      <w:pPr>
        <w:spacing w:line="360" w:lineRule="auto"/>
        <w:ind w:firstLine="480" w:firstLineChars="200"/>
        <w:rPr>
          <w:sz w:val="24"/>
        </w:rPr>
      </w:pPr>
      <w:r>
        <w:rPr>
          <w:rFonts w:hint="eastAsia"/>
          <w:sz w:val="24"/>
        </w:rPr>
        <w:t>说明：乘客门应急控制器打开车门的时间按照ECE R107进行了细化，以期提高紧急情况下乘客撤离的速度。</w:t>
      </w:r>
    </w:p>
    <w:p>
      <w:pPr>
        <w:widowControl/>
        <w:numPr>
          <w:numId w:val="0"/>
        </w:numPr>
        <w:tabs>
          <w:tab w:val="left" w:pos="360"/>
        </w:tabs>
        <w:spacing w:line="360" w:lineRule="auto"/>
        <w:ind w:leftChars="0"/>
        <w:jc w:val="left"/>
        <w:outlineLvl w:val="3"/>
        <w:rPr>
          <w:rFonts w:ascii="宋体" w:hAnsi="宋体"/>
          <w:i/>
          <w:sz w:val="24"/>
        </w:rPr>
      </w:pPr>
      <w:r>
        <w:rPr>
          <w:rFonts w:hint="eastAsia" w:ascii="宋体" w:hAnsi="宋体"/>
          <w:i/>
          <w:sz w:val="24"/>
          <w:lang w:val="en-US" w:eastAsia="zh-CN"/>
        </w:rPr>
        <w:t>5.3.10.6</w:t>
      </w:r>
      <w:r>
        <w:rPr>
          <w:rFonts w:hint="eastAsia" w:ascii="宋体" w:hAnsi="宋体"/>
          <w:i/>
          <w:sz w:val="24"/>
        </w:rPr>
        <w:t>电动客车应采用动力转向系统。</w:t>
      </w:r>
    </w:p>
    <w:p>
      <w:pPr>
        <w:spacing w:line="360" w:lineRule="auto"/>
        <w:ind w:firstLine="480" w:firstLineChars="200"/>
        <w:rPr>
          <w:sz w:val="24"/>
        </w:rPr>
      </w:pPr>
      <w:r>
        <w:rPr>
          <w:rFonts w:hint="eastAsia"/>
          <w:sz w:val="24"/>
        </w:rPr>
        <w:t>说明：降低驾驶员疲劳，保证转向轻便性，提高行车安全性。</w:t>
      </w:r>
    </w:p>
    <w:p>
      <w:pPr>
        <w:widowControl/>
        <w:numPr>
          <w:numId w:val="0"/>
        </w:numPr>
        <w:tabs>
          <w:tab w:val="left" w:pos="360"/>
        </w:tabs>
        <w:spacing w:line="360" w:lineRule="auto"/>
        <w:ind w:leftChars="0"/>
        <w:jc w:val="left"/>
        <w:outlineLvl w:val="3"/>
        <w:rPr>
          <w:rFonts w:ascii="宋体" w:hAnsi="宋体"/>
          <w:i/>
          <w:sz w:val="24"/>
        </w:rPr>
      </w:pPr>
      <w:r>
        <w:rPr>
          <w:rFonts w:hint="eastAsia" w:ascii="宋体" w:hAnsi="宋体"/>
          <w:i/>
          <w:sz w:val="24"/>
          <w:lang w:val="en-US" w:eastAsia="zh-CN"/>
        </w:rPr>
        <w:t>5.3.10.7</w:t>
      </w:r>
      <w:r>
        <w:rPr>
          <w:rFonts w:hint="eastAsia" w:ascii="宋体" w:hAnsi="宋体"/>
          <w:i/>
          <w:sz w:val="24"/>
        </w:rPr>
        <w:t>前风窗应安装除霜、除雾装置。</w:t>
      </w:r>
    </w:p>
    <w:bookmarkEnd w:id="33"/>
    <w:bookmarkEnd w:id="34"/>
    <w:p>
      <w:pPr>
        <w:spacing w:line="360" w:lineRule="auto"/>
        <w:ind w:firstLine="480" w:firstLineChars="200"/>
        <w:rPr>
          <w:rFonts w:hint="eastAsia"/>
          <w:sz w:val="24"/>
        </w:rPr>
      </w:pPr>
      <w:r>
        <w:rPr>
          <w:rFonts w:hint="eastAsia"/>
          <w:sz w:val="24"/>
        </w:rPr>
        <w:t>说明：保证外视野，提高驾驶员观察清晰度，</w:t>
      </w:r>
      <w:r>
        <w:rPr>
          <w:sz w:val="24"/>
        </w:rPr>
        <w:t xml:space="preserve"> </w:t>
      </w:r>
      <w:r>
        <w:rPr>
          <w:rFonts w:hint="eastAsia"/>
          <w:sz w:val="24"/>
        </w:rPr>
        <w:t>提高行车安全。</w:t>
      </w:r>
    </w:p>
    <w:p>
      <w:pPr>
        <w:widowControl/>
        <w:numPr>
          <w:numId w:val="0"/>
        </w:numPr>
        <w:tabs>
          <w:tab w:val="left" w:pos="360"/>
        </w:tabs>
        <w:spacing w:line="360" w:lineRule="auto"/>
        <w:ind w:leftChars="0"/>
        <w:jc w:val="left"/>
        <w:outlineLvl w:val="3"/>
        <w:rPr>
          <w:rFonts w:hAnsi="宋体"/>
          <w:sz w:val="24"/>
        </w:rPr>
      </w:pPr>
      <w:r>
        <w:rPr>
          <w:rFonts w:hint="eastAsia" w:hAnsi="宋体"/>
          <w:sz w:val="24"/>
          <w:lang w:val="en-US" w:eastAsia="zh-CN"/>
        </w:rPr>
        <w:t>5.3.11</w:t>
      </w:r>
      <w:r>
        <w:rPr>
          <w:rFonts w:hint="eastAsia" w:hAnsi="宋体"/>
          <w:sz w:val="24"/>
        </w:rPr>
        <w:t>关于附录A</w:t>
      </w:r>
    </w:p>
    <w:p>
      <w:pPr>
        <w:widowControl/>
        <w:numPr>
          <w:numId w:val="0"/>
        </w:numPr>
        <w:tabs>
          <w:tab w:val="left" w:pos="360"/>
        </w:tabs>
        <w:spacing w:line="360" w:lineRule="auto"/>
        <w:ind w:leftChars="0"/>
        <w:jc w:val="left"/>
        <w:outlineLvl w:val="3"/>
        <w:rPr>
          <w:sz w:val="24"/>
        </w:rPr>
      </w:pPr>
      <w:r>
        <w:rPr>
          <w:rFonts w:hint="eastAsia"/>
          <w:sz w:val="24"/>
          <w:lang w:val="en-US" w:eastAsia="zh-CN"/>
        </w:rPr>
        <w:t>5.3.11.1</w:t>
      </w:r>
      <w:r>
        <w:rPr>
          <w:rFonts w:hint="eastAsia"/>
          <w:sz w:val="24"/>
        </w:rPr>
        <w:t>防触电要求</w:t>
      </w:r>
    </w:p>
    <w:p>
      <w:pPr>
        <w:pStyle w:val="56"/>
        <w:numPr>
          <w:ilvl w:val="0"/>
          <w:numId w:val="0"/>
        </w:numPr>
        <w:spacing w:line="360" w:lineRule="auto"/>
        <w:rPr>
          <w:i/>
          <w:sz w:val="24"/>
          <w:szCs w:val="24"/>
        </w:rPr>
      </w:pPr>
      <w:r>
        <w:rPr>
          <w:rFonts w:hint="eastAsia"/>
          <w:i/>
          <w:sz w:val="24"/>
          <w:szCs w:val="24"/>
        </w:rPr>
        <w:t>1）</w:t>
      </w:r>
      <w:r>
        <w:rPr>
          <w:i/>
          <w:sz w:val="24"/>
          <w:szCs w:val="24"/>
        </w:rPr>
        <w:t>车辆安装的</w:t>
      </w:r>
      <w:r>
        <w:rPr>
          <w:rFonts w:hint="eastAsia"/>
          <w:i/>
          <w:sz w:val="24"/>
          <w:szCs w:val="24"/>
        </w:rPr>
        <w:t>电气设备</w:t>
      </w:r>
      <w:r>
        <w:rPr>
          <w:i/>
          <w:sz w:val="24"/>
          <w:szCs w:val="24"/>
        </w:rPr>
        <w:t>应</w:t>
      </w:r>
      <w:r>
        <w:rPr>
          <w:rFonts w:hint="eastAsia"/>
          <w:i/>
          <w:sz w:val="24"/>
          <w:szCs w:val="24"/>
        </w:rPr>
        <w:t>符合</w:t>
      </w:r>
      <w:r>
        <w:rPr>
          <w:i/>
          <w:sz w:val="24"/>
          <w:szCs w:val="24"/>
        </w:rPr>
        <w:t>QC/T413</w:t>
      </w:r>
      <w:r>
        <w:rPr>
          <w:rFonts w:hint="eastAsia"/>
          <w:i/>
          <w:sz w:val="24"/>
          <w:szCs w:val="24"/>
        </w:rPr>
        <w:t xml:space="preserve">的要求。低压电器和线束使用的插接器应符合QC/T </w:t>
      </w:r>
      <w:r>
        <w:rPr>
          <w:i/>
          <w:sz w:val="24"/>
          <w:szCs w:val="24"/>
        </w:rPr>
        <w:t>417</w:t>
      </w:r>
      <w:r>
        <w:rPr>
          <w:rFonts w:hint="eastAsia"/>
          <w:i/>
          <w:sz w:val="24"/>
          <w:szCs w:val="24"/>
        </w:rPr>
        <w:t>.1、</w:t>
      </w:r>
      <w:r>
        <w:rPr>
          <w:i/>
          <w:sz w:val="24"/>
          <w:szCs w:val="24"/>
        </w:rPr>
        <w:t>QC/T</w:t>
      </w:r>
      <w:r>
        <w:rPr>
          <w:rFonts w:hint="eastAsia"/>
          <w:i/>
          <w:sz w:val="24"/>
          <w:szCs w:val="24"/>
        </w:rPr>
        <w:t xml:space="preserve"> </w:t>
      </w:r>
      <w:r>
        <w:rPr>
          <w:i/>
          <w:sz w:val="24"/>
          <w:szCs w:val="24"/>
        </w:rPr>
        <w:t>417</w:t>
      </w:r>
      <w:r>
        <w:rPr>
          <w:rFonts w:hint="eastAsia"/>
          <w:i/>
          <w:sz w:val="24"/>
          <w:szCs w:val="24"/>
        </w:rPr>
        <w:t>.3、</w:t>
      </w:r>
      <w:r>
        <w:rPr>
          <w:i/>
          <w:sz w:val="24"/>
          <w:szCs w:val="24"/>
        </w:rPr>
        <w:t>QC/T</w:t>
      </w:r>
      <w:r>
        <w:rPr>
          <w:rFonts w:hint="eastAsia"/>
          <w:i/>
          <w:sz w:val="24"/>
          <w:szCs w:val="24"/>
        </w:rPr>
        <w:t xml:space="preserve"> </w:t>
      </w:r>
      <w:r>
        <w:rPr>
          <w:i/>
          <w:sz w:val="24"/>
          <w:szCs w:val="24"/>
        </w:rPr>
        <w:t>417</w:t>
      </w:r>
      <w:r>
        <w:rPr>
          <w:rFonts w:hint="eastAsia"/>
          <w:i/>
          <w:sz w:val="24"/>
          <w:szCs w:val="24"/>
        </w:rPr>
        <w:t>.4的要求，所有在乘客舱和驾驶舱以外使用的插接器应使用汽车密封防水插接器，布置上应尽可能离地面较高，避开被雨水、洗车水、路面积水等外界液体飞溅的位置。</w:t>
      </w:r>
    </w:p>
    <w:p>
      <w:pPr>
        <w:pStyle w:val="56"/>
        <w:numPr>
          <w:ilvl w:val="0"/>
          <w:numId w:val="0"/>
        </w:numPr>
        <w:spacing w:line="360" w:lineRule="auto"/>
        <w:ind w:firstLine="480" w:firstLineChars="200"/>
        <w:rPr>
          <w:sz w:val="24"/>
          <w:szCs w:val="24"/>
        </w:rPr>
      </w:pPr>
      <w:r>
        <w:rPr>
          <w:rFonts w:hint="eastAsia"/>
          <w:sz w:val="24"/>
          <w:szCs w:val="24"/>
        </w:rPr>
        <w:t>说明：考虑整车实际运行工况，相关的电气设备需要满足</w:t>
      </w:r>
      <w:r>
        <w:rPr>
          <w:sz w:val="24"/>
          <w:szCs w:val="24"/>
        </w:rPr>
        <w:t>QC/T413</w:t>
      </w:r>
      <w:r>
        <w:rPr>
          <w:rFonts w:hint="eastAsia"/>
          <w:sz w:val="24"/>
          <w:szCs w:val="24"/>
        </w:rPr>
        <w:t>、</w:t>
      </w:r>
      <w:r>
        <w:rPr>
          <w:sz w:val="24"/>
          <w:szCs w:val="24"/>
        </w:rPr>
        <w:t>QC/T</w:t>
      </w:r>
      <w:r>
        <w:rPr>
          <w:rFonts w:hint="eastAsia"/>
          <w:sz w:val="24"/>
          <w:szCs w:val="24"/>
        </w:rPr>
        <w:t xml:space="preserve"> </w:t>
      </w:r>
      <w:r>
        <w:rPr>
          <w:sz w:val="24"/>
          <w:szCs w:val="24"/>
        </w:rPr>
        <w:t>417</w:t>
      </w:r>
      <w:r>
        <w:rPr>
          <w:rFonts w:hint="eastAsia"/>
          <w:sz w:val="24"/>
          <w:szCs w:val="24"/>
        </w:rPr>
        <w:t>要求，在客舱和驾驶舱外的插接器应满足防火、防触电要求。</w:t>
      </w:r>
    </w:p>
    <w:p>
      <w:pPr>
        <w:pStyle w:val="56"/>
        <w:numPr>
          <w:ilvl w:val="0"/>
          <w:numId w:val="0"/>
        </w:numPr>
        <w:spacing w:line="360" w:lineRule="auto"/>
        <w:rPr>
          <w:i/>
          <w:sz w:val="24"/>
          <w:szCs w:val="24"/>
        </w:rPr>
      </w:pPr>
      <w:r>
        <w:rPr>
          <w:rFonts w:hint="eastAsia"/>
          <w:i/>
          <w:sz w:val="24"/>
          <w:szCs w:val="24"/>
        </w:rPr>
        <w:t>2）车辆不得含有裸露的导线、接线端、连接单元。动力电路系统的带电部件，应通过绝缘或使用防护盖、防护栏、金属网等防止直接接触。这些防护装置应牢固可靠并耐机械冲击。在不使用工具或无意识的情况下不能被打开、分离或移开。</w:t>
      </w:r>
    </w:p>
    <w:p>
      <w:pPr>
        <w:pStyle w:val="56"/>
        <w:numPr>
          <w:ilvl w:val="0"/>
          <w:numId w:val="0"/>
        </w:numPr>
        <w:spacing w:line="360" w:lineRule="auto"/>
        <w:ind w:firstLine="480" w:firstLineChars="200"/>
        <w:rPr>
          <w:sz w:val="24"/>
          <w:szCs w:val="24"/>
        </w:rPr>
      </w:pPr>
      <w:r>
        <w:rPr>
          <w:rFonts w:hint="eastAsia"/>
          <w:sz w:val="24"/>
          <w:szCs w:val="24"/>
        </w:rPr>
        <w:t>说明：为防止间接接触，对高压部件的安装提出要求。</w:t>
      </w:r>
    </w:p>
    <w:p>
      <w:pPr>
        <w:widowControl/>
        <w:numPr>
          <w:numId w:val="0"/>
        </w:numPr>
        <w:tabs>
          <w:tab w:val="left" w:pos="360"/>
        </w:tabs>
        <w:spacing w:line="360" w:lineRule="auto"/>
        <w:ind w:leftChars="0"/>
        <w:jc w:val="left"/>
        <w:outlineLvl w:val="3"/>
        <w:rPr>
          <w:sz w:val="24"/>
        </w:rPr>
      </w:pPr>
      <w:r>
        <w:rPr>
          <w:rFonts w:hint="eastAsia"/>
          <w:sz w:val="24"/>
          <w:lang w:val="en-US" w:eastAsia="zh-CN"/>
        </w:rPr>
        <w:t>5.3.11.2</w:t>
      </w:r>
      <w:r>
        <w:rPr>
          <w:rFonts w:hint="eastAsia"/>
          <w:sz w:val="24"/>
        </w:rPr>
        <w:t>线束安装要求</w:t>
      </w:r>
    </w:p>
    <w:p>
      <w:pPr>
        <w:pStyle w:val="56"/>
        <w:numPr>
          <w:ilvl w:val="0"/>
          <w:numId w:val="0"/>
        </w:numPr>
        <w:spacing w:line="360" w:lineRule="auto"/>
        <w:rPr>
          <w:i/>
          <w:sz w:val="24"/>
          <w:szCs w:val="24"/>
        </w:rPr>
      </w:pPr>
      <w:r>
        <w:rPr>
          <w:rFonts w:hint="eastAsia"/>
          <w:i/>
          <w:sz w:val="24"/>
          <w:szCs w:val="24"/>
        </w:rPr>
        <w:t>1）线束安装位置应避开高温、潮湿、腐蚀、振动部位，若无法避开时，应有防护措施。</w:t>
      </w:r>
    </w:p>
    <w:p>
      <w:pPr>
        <w:pStyle w:val="56"/>
        <w:numPr>
          <w:ilvl w:val="0"/>
          <w:numId w:val="0"/>
        </w:numPr>
        <w:spacing w:line="360" w:lineRule="auto"/>
        <w:rPr>
          <w:i/>
          <w:sz w:val="24"/>
          <w:szCs w:val="24"/>
        </w:rPr>
      </w:pPr>
      <w:r>
        <w:rPr>
          <w:rFonts w:hint="eastAsia"/>
          <w:i/>
          <w:sz w:val="24"/>
          <w:szCs w:val="24"/>
        </w:rPr>
        <w:t>2）线束应固定牢固，布置在棱角处时应有防护措施。</w:t>
      </w:r>
    </w:p>
    <w:p>
      <w:pPr>
        <w:pStyle w:val="56"/>
        <w:numPr>
          <w:ilvl w:val="0"/>
          <w:numId w:val="0"/>
        </w:numPr>
        <w:spacing w:line="360" w:lineRule="auto"/>
        <w:rPr>
          <w:i/>
          <w:sz w:val="24"/>
          <w:szCs w:val="24"/>
        </w:rPr>
      </w:pPr>
      <w:r>
        <w:rPr>
          <w:rFonts w:hint="eastAsia"/>
          <w:i/>
          <w:sz w:val="24"/>
          <w:szCs w:val="24"/>
        </w:rPr>
        <w:t>3）线束安装在转弯处时应圆弧过渡，圆弧角度不小于90°。</w:t>
      </w:r>
    </w:p>
    <w:p>
      <w:pPr>
        <w:pStyle w:val="56"/>
        <w:numPr>
          <w:ilvl w:val="0"/>
          <w:numId w:val="0"/>
        </w:numPr>
        <w:spacing w:line="360" w:lineRule="auto"/>
        <w:ind w:firstLine="480" w:firstLineChars="200"/>
        <w:rPr>
          <w:rFonts w:hint="eastAsia"/>
          <w:sz w:val="24"/>
          <w:szCs w:val="24"/>
        </w:rPr>
      </w:pPr>
      <w:r>
        <w:rPr>
          <w:rFonts w:hint="eastAsia"/>
          <w:sz w:val="24"/>
          <w:szCs w:val="24"/>
        </w:rPr>
        <w:t>说明：低压线束的防护等级、阻燃性能、安装要求均应考虑。</w:t>
      </w:r>
    </w:p>
    <w:p>
      <w:pPr>
        <w:pStyle w:val="56"/>
        <w:numPr>
          <w:ilvl w:val="0"/>
          <w:numId w:val="0"/>
        </w:numPr>
        <w:spacing w:line="360" w:lineRule="auto"/>
        <w:ind w:firstLine="480" w:firstLineChars="200"/>
        <w:rPr>
          <w:sz w:val="24"/>
          <w:szCs w:val="24"/>
        </w:rPr>
      </w:pPr>
      <w:r>
        <w:rPr>
          <w:rFonts w:hint="eastAsia"/>
          <w:sz w:val="24"/>
          <w:szCs w:val="24"/>
        </w:rPr>
        <w:t>4）</w:t>
      </w:r>
      <w:r>
        <w:rPr>
          <w:rFonts w:hint="eastAsia"/>
          <w:i/>
          <w:sz w:val="24"/>
          <w:szCs w:val="24"/>
        </w:rPr>
        <w:t>B级电压电缆应单独铺设，铺设的线束应排列整齐，固定牢靠，穿过孔洞时应有保护和绝缘措施。在某些特殊部位（与A级电压线束、气管、油管等排列或交叉的场合），应有有效隔离和绝缘安全措施。</w:t>
      </w:r>
    </w:p>
    <w:p>
      <w:pPr>
        <w:pStyle w:val="56"/>
        <w:numPr>
          <w:ilvl w:val="0"/>
          <w:numId w:val="0"/>
        </w:numPr>
        <w:spacing w:line="360" w:lineRule="auto"/>
        <w:ind w:firstLine="480" w:firstLineChars="200"/>
        <w:rPr>
          <w:sz w:val="24"/>
          <w:szCs w:val="24"/>
        </w:rPr>
      </w:pPr>
      <w:r>
        <w:rPr>
          <w:rFonts w:hint="eastAsia"/>
          <w:sz w:val="24"/>
          <w:szCs w:val="24"/>
        </w:rPr>
        <w:t>说明：根据B级电压电缆的电气性能、机械性能要求，安装方式应满足。</w:t>
      </w:r>
    </w:p>
    <w:p>
      <w:pPr>
        <w:pStyle w:val="56"/>
        <w:numPr>
          <w:ilvl w:val="0"/>
          <w:numId w:val="0"/>
        </w:numPr>
        <w:spacing w:line="360" w:lineRule="auto"/>
        <w:rPr>
          <w:sz w:val="24"/>
          <w:szCs w:val="24"/>
        </w:rPr>
      </w:pPr>
      <w:r>
        <w:rPr>
          <w:rFonts w:hint="eastAsia"/>
          <w:sz w:val="24"/>
          <w:szCs w:val="24"/>
        </w:rPr>
        <w:t>5）</w:t>
      </w:r>
      <w:r>
        <w:rPr>
          <w:rFonts w:hint="eastAsia"/>
          <w:i/>
          <w:sz w:val="24"/>
          <w:szCs w:val="24"/>
        </w:rPr>
        <w:t>B级电压电缆使用螺钉夹紧件或者螺栓夹紧件时，螺钉与螺母的机械强度应不低于8.8级，并有防松动措施，并符合GB/T 31467.3—2015中第7.1.2条的振动测试要求。</w:t>
      </w:r>
    </w:p>
    <w:p>
      <w:pPr>
        <w:pStyle w:val="56"/>
        <w:numPr>
          <w:ilvl w:val="0"/>
          <w:numId w:val="0"/>
        </w:numPr>
        <w:spacing w:line="360" w:lineRule="auto"/>
        <w:ind w:firstLine="480" w:firstLineChars="200"/>
        <w:rPr>
          <w:sz w:val="24"/>
          <w:szCs w:val="24"/>
        </w:rPr>
      </w:pPr>
      <w:r>
        <w:rPr>
          <w:rFonts w:hint="eastAsia"/>
          <w:sz w:val="24"/>
          <w:szCs w:val="24"/>
        </w:rPr>
        <w:t>说明：电缆使用端子连接时，为防止松动，螺栓螺母的机械强度要满足要求，并通过振动试验的验证。</w:t>
      </w:r>
    </w:p>
    <w:p>
      <w:pPr>
        <w:pStyle w:val="56"/>
        <w:numPr>
          <w:ilvl w:val="0"/>
          <w:numId w:val="13"/>
        </w:numPr>
        <w:spacing w:line="360" w:lineRule="auto"/>
        <w:rPr>
          <w:i/>
          <w:sz w:val="24"/>
          <w:szCs w:val="24"/>
        </w:rPr>
      </w:pPr>
      <w:r>
        <w:rPr>
          <w:rFonts w:hint="eastAsia"/>
          <w:i/>
          <w:sz w:val="24"/>
          <w:szCs w:val="24"/>
        </w:rPr>
        <w:t>电动空调器B级电压电缆的连接端子应采用双螺母固定方式，搭铁线应单独固定搭铁，不应与空调机组的固定螺栓或其他部件的固定螺栓搭在一起。</w:t>
      </w:r>
    </w:p>
    <w:p>
      <w:pPr>
        <w:pStyle w:val="56"/>
        <w:numPr>
          <w:ilvl w:val="0"/>
          <w:numId w:val="0"/>
        </w:numPr>
        <w:spacing w:line="360" w:lineRule="auto"/>
        <w:rPr>
          <w:i/>
          <w:sz w:val="24"/>
          <w:szCs w:val="24"/>
        </w:rPr>
      </w:pPr>
      <w:r>
        <w:rPr>
          <w:rFonts w:hint="eastAsia"/>
          <w:i/>
          <w:sz w:val="24"/>
          <w:szCs w:val="24"/>
        </w:rPr>
        <w:t>7)电动空调器应具有高、低压压力保护和自动温控功能，内部的连接端子应直接与熔断器接触。</w:t>
      </w:r>
    </w:p>
    <w:p>
      <w:pPr>
        <w:pStyle w:val="56"/>
        <w:numPr>
          <w:ilvl w:val="0"/>
          <w:numId w:val="0"/>
        </w:numPr>
        <w:spacing w:line="360" w:lineRule="auto"/>
        <w:rPr>
          <w:i/>
          <w:sz w:val="24"/>
          <w:szCs w:val="24"/>
        </w:rPr>
      </w:pPr>
      <w:r>
        <w:rPr>
          <w:rFonts w:hint="eastAsia"/>
          <w:i/>
          <w:sz w:val="24"/>
          <w:szCs w:val="24"/>
        </w:rPr>
        <w:t>8)B级电压采暖、除霜系统应安装直流接触器，在检测到发热体的温度超出设定危险温度时，应主动断开B级电压电路。</w:t>
      </w:r>
    </w:p>
    <w:p>
      <w:pPr>
        <w:pStyle w:val="56"/>
        <w:numPr>
          <w:ilvl w:val="0"/>
          <w:numId w:val="0"/>
        </w:numPr>
        <w:spacing w:line="360" w:lineRule="auto"/>
        <w:ind w:firstLine="480" w:firstLineChars="200"/>
        <w:rPr>
          <w:rFonts w:hint="eastAsia"/>
          <w:sz w:val="24"/>
          <w:szCs w:val="24"/>
        </w:rPr>
      </w:pPr>
      <w:r>
        <w:rPr>
          <w:rFonts w:hint="eastAsia"/>
          <w:sz w:val="24"/>
          <w:szCs w:val="24"/>
        </w:rPr>
        <w:t>说明：根据车辆安全需求，对电附件系统的高压电气安装方式进行细化。</w:t>
      </w:r>
    </w:p>
    <w:p>
      <w:pPr>
        <w:widowControl/>
        <w:numPr>
          <w:numId w:val="0"/>
        </w:numPr>
        <w:tabs>
          <w:tab w:val="left" w:pos="360"/>
        </w:tabs>
        <w:spacing w:line="360" w:lineRule="auto"/>
        <w:ind w:leftChars="0"/>
        <w:jc w:val="left"/>
        <w:outlineLvl w:val="3"/>
        <w:rPr>
          <w:sz w:val="24"/>
        </w:rPr>
      </w:pPr>
      <w:r>
        <w:rPr>
          <w:rFonts w:hint="eastAsia"/>
          <w:sz w:val="24"/>
          <w:lang w:val="en-US" w:eastAsia="zh-CN"/>
        </w:rPr>
        <w:t>5.3.11.3</w:t>
      </w:r>
      <w:r>
        <w:rPr>
          <w:rFonts w:hint="eastAsia"/>
          <w:sz w:val="24"/>
        </w:rPr>
        <w:t>充电安全</w:t>
      </w:r>
    </w:p>
    <w:p>
      <w:pPr>
        <w:pStyle w:val="56"/>
        <w:numPr>
          <w:ilvl w:val="0"/>
          <w:numId w:val="0"/>
        </w:numPr>
        <w:spacing w:line="360" w:lineRule="auto"/>
        <w:rPr>
          <w:rFonts w:hAnsi="宋体"/>
          <w:i/>
          <w:sz w:val="24"/>
          <w:szCs w:val="24"/>
        </w:rPr>
      </w:pPr>
      <w:r>
        <w:rPr>
          <w:rFonts w:hint="eastAsia" w:hAnsi="宋体"/>
          <w:sz w:val="24"/>
          <w:szCs w:val="24"/>
        </w:rPr>
        <w:t>1)</w:t>
      </w:r>
      <w:r>
        <w:rPr>
          <w:rFonts w:hint="eastAsia" w:hAnsi="宋体"/>
          <w:i/>
          <w:sz w:val="24"/>
          <w:szCs w:val="24"/>
        </w:rPr>
        <w:t>电动客车若安装有受电弓，则应符合以下要求：</w:t>
      </w:r>
    </w:p>
    <w:p>
      <w:pPr>
        <w:pStyle w:val="47"/>
        <w:spacing w:line="360" w:lineRule="auto"/>
        <w:ind w:left="851"/>
        <w:rPr>
          <w:i/>
          <w:sz w:val="24"/>
          <w:szCs w:val="24"/>
        </w:rPr>
      </w:pPr>
      <w:r>
        <w:rPr>
          <w:rFonts w:hint="eastAsia"/>
          <w:i/>
          <w:sz w:val="24"/>
          <w:szCs w:val="24"/>
        </w:rPr>
        <w:t>受电弓极板最大外形长度应小于充电架授电排极板或触网的间距。</w:t>
      </w:r>
    </w:p>
    <w:p>
      <w:pPr>
        <w:pStyle w:val="47"/>
        <w:spacing w:line="360" w:lineRule="auto"/>
        <w:ind w:left="851"/>
        <w:rPr>
          <w:i/>
          <w:sz w:val="24"/>
          <w:szCs w:val="24"/>
        </w:rPr>
      </w:pPr>
      <w:r>
        <w:rPr>
          <w:rFonts w:hint="eastAsia"/>
          <w:i/>
          <w:sz w:val="24"/>
          <w:szCs w:val="24"/>
        </w:rPr>
        <w:t>受电弓应满足充电站亭或充电架的使用要求，受电弓升起后极板离地高度应为4600mm</w:t>
      </w:r>
      <w:r>
        <w:rPr>
          <w:i/>
          <w:sz w:val="24"/>
          <w:szCs w:val="24"/>
        </w:rPr>
        <w:t>～</w:t>
      </w:r>
      <w:r>
        <w:rPr>
          <w:rFonts w:hint="eastAsia"/>
          <w:i/>
          <w:sz w:val="24"/>
          <w:szCs w:val="24"/>
        </w:rPr>
        <w:t>4800mm；正、负极板高度差应小于20mm。</w:t>
      </w:r>
    </w:p>
    <w:p>
      <w:pPr>
        <w:pStyle w:val="47"/>
        <w:spacing w:line="360" w:lineRule="auto"/>
        <w:ind w:left="851"/>
        <w:rPr>
          <w:i/>
          <w:sz w:val="24"/>
          <w:szCs w:val="24"/>
        </w:rPr>
      </w:pPr>
      <w:r>
        <w:rPr>
          <w:rFonts w:hint="eastAsia"/>
          <w:i/>
          <w:sz w:val="24"/>
          <w:szCs w:val="24"/>
        </w:rPr>
        <w:t>受电弓极板在落至最低位置静止状态下，离地高度应小于等于4000 mm。</w:t>
      </w:r>
    </w:p>
    <w:p>
      <w:pPr>
        <w:pStyle w:val="47"/>
        <w:spacing w:line="360" w:lineRule="auto"/>
        <w:ind w:left="851"/>
        <w:rPr>
          <w:i/>
          <w:sz w:val="24"/>
          <w:szCs w:val="24"/>
        </w:rPr>
      </w:pPr>
      <w:r>
        <w:rPr>
          <w:rFonts w:hint="eastAsia"/>
          <w:i/>
          <w:sz w:val="24"/>
          <w:szCs w:val="24"/>
        </w:rPr>
        <w:t>受电弓上升或下降应有缓冲设计，受电弓极板对充电架授电排极板或触网的压力应在</w:t>
      </w:r>
      <w:r>
        <w:rPr>
          <w:i/>
          <w:sz w:val="24"/>
          <w:szCs w:val="24"/>
        </w:rPr>
        <w:t>80N</w:t>
      </w:r>
      <w:r>
        <w:rPr>
          <w:rFonts w:hint="eastAsia"/>
          <w:i/>
          <w:sz w:val="24"/>
          <w:szCs w:val="24"/>
        </w:rPr>
        <w:t>～1</w:t>
      </w:r>
      <w:r>
        <w:rPr>
          <w:i/>
          <w:sz w:val="24"/>
          <w:szCs w:val="24"/>
        </w:rPr>
        <w:t>20N</w:t>
      </w:r>
      <w:r>
        <w:rPr>
          <w:rFonts w:hint="eastAsia"/>
          <w:i/>
          <w:sz w:val="24"/>
          <w:szCs w:val="24"/>
        </w:rPr>
        <w:t>范围内。</w:t>
      </w:r>
    </w:p>
    <w:p>
      <w:pPr>
        <w:pStyle w:val="47"/>
        <w:spacing w:line="360" w:lineRule="auto"/>
        <w:ind w:left="851"/>
        <w:rPr>
          <w:sz w:val="24"/>
          <w:szCs w:val="24"/>
        </w:rPr>
      </w:pPr>
      <w:r>
        <w:rPr>
          <w:rFonts w:hint="eastAsia"/>
          <w:i/>
          <w:sz w:val="24"/>
          <w:szCs w:val="24"/>
        </w:rPr>
        <w:t>受电弓应符合QC/T 413—2002中第3.12中其他部位的振动测试要求。</w:t>
      </w:r>
    </w:p>
    <w:p>
      <w:pPr>
        <w:pStyle w:val="47"/>
        <w:numPr>
          <w:ilvl w:val="0"/>
          <w:numId w:val="0"/>
        </w:numPr>
        <w:spacing w:line="360" w:lineRule="auto"/>
        <w:ind w:firstLine="480" w:firstLineChars="200"/>
        <w:rPr>
          <w:rFonts w:hAnsi="宋体" w:cs="宋体"/>
          <w:sz w:val="24"/>
          <w:szCs w:val="24"/>
        </w:rPr>
      </w:pPr>
      <w:r>
        <w:rPr>
          <w:rFonts w:hint="eastAsia" w:hAnsi="宋体" w:cs="宋体"/>
          <w:sz w:val="24"/>
          <w:szCs w:val="24"/>
        </w:rPr>
        <w:t>说明：</w:t>
      </w:r>
    </w:p>
    <w:p>
      <w:pPr>
        <w:pStyle w:val="47"/>
        <w:numPr>
          <w:ilvl w:val="0"/>
          <w:numId w:val="14"/>
        </w:numPr>
        <w:spacing w:line="360" w:lineRule="auto"/>
        <w:rPr>
          <w:rFonts w:hAnsi="宋体" w:cs="宋体"/>
          <w:sz w:val="24"/>
          <w:szCs w:val="24"/>
        </w:rPr>
      </w:pPr>
      <w:r>
        <w:rPr>
          <w:rFonts w:hint="eastAsia" w:hAnsi="宋体" w:cs="宋体"/>
          <w:sz w:val="24"/>
          <w:szCs w:val="24"/>
        </w:rPr>
        <w:t>受电弓充电系统考虑避免授电架正负极板短路，对受电弓极板长度提出了要求，并满足</w:t>
      </w:r>
      <w:r>
        <w:rPr>
          <w:rFonts w:hAnsi="宋体" w:cs="宋体"/>
          <w:sz w:val="24"/>
          <w:szCs w:val="24"/>
        </w:rPr>
        <w:t>DB31/T 306-2015</w:t>
      </w:r>
      <w:r>
        <w:rPr>
          <w:rFonts w:hint="eastAsia" w:hAnsi="宋体" w:cs="宋体"/>
          <w:sz w:val="24"/>
          <w:szCs w:val="24"/>
        </w:rPr>
        <w:t>中</w:t>
      </w:r>
      <w:r>
        <w:rPr>
          <w:rFonts w:hAnsi="宋体" w:cs="宋体"/>
          <w:sz w:val="24"/>
          <w:szCs w:val="24"/>
        </w:rPr>
        <w:t>7.2.4</w:t>
      </w:r>
      <w:r>
        <w:rPr>
          <w:rFonts w:hint="eastAsia" w:hAnsi="宋体" w:cs="宋体"/>
          <w:sz w:val="24"/>
          <w:szCs w:val="24"/>
        </w:rPr>
        <w:t>规定;</w:t>
      </w:r>
    </w:p>
    <w:p>
      <w:pPr>
        <w:pStyle w:val="47"/>
        <w:numPr>
          <w:ilvl w:val="0"/>
          <w:numId w:val="14"/>
        </w:numPr>
        <w:spacing w:line="360" w:lineRule="auto"/>
        <w:rPr>
          <w:sz w:val="24"/>
          <w:szCs w:val="24"/>
        </w:rPr>
      </w:pPr>
      <w:r>
        <w:rPr>
          <w:rFonts w:hint="eastAsia" w:hAnsi="宋体" w:cs="宋体"/>
          <w:sz w:val="24"/>
          <w:szCs w:val="24"/>
        </w:rPr>
        <w:t>为避免受电弓充电过程正、负极板虚接，需对正、负极板的高度差提出要求;</w:t>
      </w:r>
    </w:p>
    <w:p>
      <w:pPr>
        <w:pStyle w:val="47"/>
        <w:numPr>
          <w:ilvl w:val="0"/>
          <w:numId w:val="14"/>
        </w:numPr>
        <w:spacing w:line="360" w:lineRule="auto"/>
        <w:rPr>
          <w:sz w:val="24"/>
          <w:szCs w:val="24"/>
        </w:rPr>
      </w:pPr>
      <w:r>
        <w:rPr>
          <w:rFonts w:hint="eastAsia" w:hAnsi="宋体" w:cs="宋体"/>
          <w:sz w:val="24"/>
          <w:szCs w:val="24"/>
        </w:rPr>
        <w:t>根据</w:t>
      </w:r>
      <w:r>
        <w:rPr>
          <w:rFonts w:hAnsi="宋体" w:cs="宋体"/>
          <w:sz w:val="24"/>
          <w:szCs w:val="24"/>
        </w:rPr>
        <w:t>GB 1589-2004</w:t>
      </w:r>
      <w:r>
        <w:rPr>
          <w:rFonts w:hint="eastAsia" w:hAnsi="宋体" w:cs="宋体"/>
          <w:sz w:val="24"/>
          <w:szCs w:val="24"/>
        </w:rPr>
        <w:t>规定的车辆高度的要求，对受电弓车辆的高度提出要求;</w:t>
      </w:r>
    </w:p>
    <w:p>
      <w:pPr>
        <w:pStyle w:val="47"/>
        <w:numPr>
          <w:ilvl w:val="0"/>
          <w:numId w:val="14"/>
        </w:numPr>
        <w:spacing w:line="360" w:lineRule="auto"/>
        <w:rPr>
          <w:sz w:val="24"/>
          <w:szCs w:val="24"/>
        </w:rPr>
      </w:pPr>
      <w:r>
        <w:rPr>
          <w:rFonts w:hint="eastAsia" w:hAnsi="宋体" w:cs="宋体"/>
          <w:sz w:val="24"/>
          <w:szCs w:val="24"/>
        </w:rPr>
        <w:t>受电弓极板升降过程应避免对车辆和授电架的冲击，需明确升降时间、缓冲装置要求；为保证正负极板与授电架接触良好并避免冲击授电架，需保证一定的压力范围;</w:t>
      </w:r>
    </w:p>
    <w:p>
      <w:pPr>
        <w:pStyle w:val="47"/>
        <w:numPr>
          <w:ilvl w:val="0"/>
          <w:numId w:val="14"/>
        </w:numPr>
        <w:spacing w:line="360" w:lineRule="auto"/>
        <w:rPr>
          <w:sz w:val="24"/>
          <w:szCs w:val="24"/>
        </w:rPr>
      </w:pPr>
      <w:r>
        <w:rPr>
          <w:rFonts w:hint="eastAsia" w:hAnsi="宋体" w:cs="宋体"/>
          <w:sz w:val="24"/>
          <w:szCs w:val="24"/>
        </w:rPr>
        <w:t>受电弓安装在车辆骨架上，需提出抗震动要求，满足QC/T 413-2002中第3.12中其他部位的振动测试要求。</w:t>
      </w:r>
    </w:p>
    <w:p>
      <w:pPr>
        <w:pStyle w:val="56"/>
        <w:numPr>
          <w:ilvl w:val="0"/>
          <w:numId w:val="0"/>
        </w:numPr>
        <w:spacing w:line="360" w:lineRule="auto"/>
        <w:rPr>
          <w:rFonts w:hAnsi="宋体"/>
          <w:sz w:val="24"/>
          <w:szCs w:val="24"/>
        </w:rPr>
      </w:pPr>
      <w:r>
        <w:rPr>
          <w:rFonts w:hint="eastAsia" w:hAnsi="宋体"/>
          <w:sz w:val="24"/>
          <w:szCs w:val="24"/>
        </w:rPr>
        <w:t>2)</w:t>
      </w:r>
      <w:r>
        <w:rPr>
          <w:rFonts w:hint="eastAsia" w:hAnsi="宋体"/>
          <w:i/>
          <w:sz w:val="24"/>
          <w:szCs w:val="24"/>
        </w:rPr>
        <w:t>充电系统中的AC-DC设备应具备根据电池管理系统的要求，控制充电电压、充电电流限制值的能力，当电压或电流超过电池所允许的限制值时，需停止直流侧输出；当不能获得电压和电流限制值时应停止直流侧输出。</w:t>
      </w:r>
    </w:p>
    <w:p>
      <w:pPr>
        <w:pStyle w:val="56"/>
        <w:numPr>
          <w:ilvl w:val="0"/>
          <w:numId w:val="0"/>
        </w:numPr>
        <w:spacing w:line="360" w:lineRule="auto"/>
        <w:ind w:firstLine="480" w:firstLineChars="200"/>
        <w:rPr>
          <w:rFonts w:hAnsi="宋体"/>
          <w:sz w:val="24"/>
          <w:szCs w:val="24"/>
        </w:rPr>
      </w:pPr>
      <w:r>
        <w:rPr>
          <w:rFonts w:hint="eastAsia" w:hAnsi="宋体" w:cs="宋体"/>
          <w:kern w:val="0"/>
          <w:sz w:val="24"/>
          <w:szCs w:val="24"/>
        </w:rPr>
        <w:t>说明：充电系统输出应可控，根据自身能力响应BMS充电需求</w:t>
      </w:r>
    </w:p>
    <w:p>
      <w:pPr>
        <w:pStyle w:val="56"/>
        <w:numPr>
          <w:ilvl w:val="0"/>
          <w:numId w:val="0"/>
        </w:numPr>
        <w:spacing w:line="360" w:lineRule="auto"/>
        <w:rPr>
          <w:rFonts w:hAnsi="宋体"/>
          <w:sz w:val="24"/>
          <w:szCs w:val="24"/>
        </w:rPr>
      </w:pPr>
      <w:r>
        <w:rPr>
          <w:rFonts w:hint="eastAsia" w:hAnsi="宋体"/>
          <w:sz w:val="24"/>
          <w:szCs w:val="24"/>
        </w:rPr>
        <w:t>3)</w:t>
      </w:r>
      <w:r>
        <w:rPr>
          <w:rFonts w:hint="eastAsia" w:hAnsi="宋体"/>
          <w:i/>
          <w:sz w:val="24"/>
          <w:szCs w:val="24"/>
        </w:rPr>
        <w:t>充电系统应具备防反充保护功能，避免向电池反向充电。</w:t>
      </w:r>
    </w:p>
    <w:p>
      <w:pPr>
        <w:pStyle w:val="56"/>
        <w:numPr>
          <w:ilvl w:val="0"/>
          <w:numId w:val="0"/>
        </w:numPr>
        <w:spacing w:line="360" w:lineRule="auto"/>
        <w:ind w:firstLine="480" w:firstLineChars="200"/>
        <w:rPr>
          <w:rFonts w:hAnsi="宋体"/>
          <w:sz w:val="24"/>
          <w:szCs w:val="24"/>
        </w:rPr>
      </w:pPr>
      <w:r>
        <w:rPr>
          <w:rFonts w:hint="eastAsia" w:hAnsi="宋体" w:cs="宋体"/>
          <w:kern w:val="0"/>
          <w:sz w:val="24"/>
          <w:szCs w:val="24"/>
        </w:rPr>
        <w:t>说明：充电系统作为充电输出设备，应避免电池反向输出给充电机。</w:t>
      </w:r>
    </w:p>
    <w:p>
      <w:pPr>
        <w:pStyle w:val="56"/>
        <w:numPr>
          <w:ilvl w:val="0"/>
          <w:numId w:val="0"/>
        </w:numPr>
        <w:spacing w:line="360" w:lineRule="auto"/>
        <w:rPr>
          <w:rFonts w:hAnsi="宋体"/>
          <w:i/>
          <w:sz w:val="24"/>
          <w:szCs w:val="24"/>
        </w:rPr>
      </w:pPr>
      <w:r>
        <w:rPr>
          <w:rFonts w:hint="eastAsia" w:hAnsi="宋体"/>
          <w:i/>
          <w:sz w:val="24"/>
          <w:szCs w:val="24"/>
        </w:rPr>
        <w:t>4)充电系统应具备输入输出短路、过压、欠压、过流、过热、对地短路等相应的报警和保护功能。</w:t>
      </w:r>
    </w:p>
    <w:p>
      <w:pPr>
        <w:pStyle w:val="56"/>
        <w:numPr>
          <w:ilvl w:val="0"/>
          <w:numId w:val="0"/>
        </w:numPr>
        <w:spacing w:line="360" w:lineRule="auto"/>
        <w:ind w:firstLine="480" w:firstLineChars="200"/>
        <w:rPr>
          <w:sz w:val="24"/>
          <w:szCs w:val="24"/>
        </w:rPr>
      </w:pPr>
      <w:r>
        <w:rPr>
          <w:rFonts w:hint="eastAsia" w:hAnsi="宋体" w:cs="宋体"/>
          <w:kern w:val="0"/>
          <w:sz w:val="24"/>
          <w:szCs w:val="24"/>
        </w:rPr>
        <w:t>说明：充电系统应具备基本的电路保护功能。</w:t>
      </w:r>
    </w:p>
    <w:p>
      <w:pPr>
        <w:pStyle w:val="56"/>
        <w:numPr>
          <w:ilvl w:val="0"/>
          <w:numId w:val="0"/>
        </w:numPr>
        <w:spacing w:line="360" w:lineRule="auto"/>
        <w:rPr>
          <w:sz w:val="24"/>
          <w:szCs w:val="24"/>
        </w:rPr>
      </w:pPr>
      <w:r>
        <w:rPr>
          <w:rFonts w:hint="eastAsia"/>
          <w:sz w:val="24"/>
          <w:szCs w:val="24"/>
        </w:rPr>
        <w:t>5)</w:t>
      </w:r>
      <w:r>
        <w:rPr>
          <w:rFonts w:hint="eastAsia"/>
          <w:i/>
          <w:sz w:val="24"/>
          <w:szCs w:val="24"/>
        </w:rPr>
        <w:t>充电系统在考虑合理的线路压降的情况下，直流侧输出电压和电池管理系统监测电压差达到30V时应停止充电并报警。</w:t>
      </w:r>
    </w:p>
    <w:p>
      <w:pPr>
        <w:pStyle w:val="56"/>
        <w:numPr>
          <w:ilvl w:val="0"/>
          <w:numId w:val="0"/>
        </w:numPr>
        <w:spacing w:line="360" w:lineRule="auto"/>
        <w:ind w:firstLine="480" w:firstLineChars="200"/>
        <w:rPr>
          <w:sz w:val="24"/>
          <w:szCs w:val="24"/>
        </w:rPr>
      </w:pPr>
      <w:r>
        <w:rPr>
          <w:rFonts w:hint="eastAsia" w:hAnsi="宋体" w:cs="宋体"/>
          <w:kern w:val="0"/>
          <w:sz w:val="24"/>
          <w:szCs w:val="24"/>
        </w:rPr>
        <w:t>说明：充电系统输出电压不应过大或过小，且在存在上述故障情况时充电机应有报警和保护功能。</w:t>
      </w:r>
    </w:p>
    <w:p>
      <w:pPr>
        <w:pStyle w:val="56"/>
        <w:numPr>
          <w:ilvl w:val="0"/>
          <w:numId w:val="0"/>
        </w:numPr>
        <w:spacing w:line="360" w:lineRule="auto"/>
        <w:rPr>
          <w:i/>
          <w:sz w:val="24"/>
          <w:szCs w:val="24"/>
        </w:rPr>
      </w:pPr>
      <w:r>
        <w:rPr>
          <w:rFonts w:hint="eastAsia"/>
          <w:sz w:val="24"/>
          <w:szCs w:val="24"/>
        </w:rPr>
        <w:t>6)</w:t>
      </w:r>
      <w:r>
        <w:rPr>
          <w:rFonts w:hint="eastAsia"/>
          <w:i/>
          <w:sz w:val="24"/>
          <w:szCs w:val="24"/>
        </w:rPr>
        <w:t>充电接口应具备锁止机构，如无锁止机构则必须满足充电接口断开后，</w:t>
      </w:r>
      <w:r>
        <w:rPr>
          <w:i/>
          <w:sz w:val="24"/>
          <w:szCs w:val="24"/>
        </w:rPr>
        <w:t>1S</w:t>
      </w:r>
      <w:r>
        <w:rPr>
          <w:rFonts w:hint="eastAsia"/>
          <w:i/>
          <w:sz w:val="24"/>
          <w:szCs w:val="24"/>
        </w:rPr>
        <w:t>内充电设备电压回落到</w:t>
      </w:r>
      <w:r>
        <w:rPr>
          <w:i/>
          <w:sz w:val="24"/>
          <w:szCs w:val="24"/>
        </w:rPr>
        <w:t>60V</w:t>
      </w:r>
      <w:r>
        <w:rPr>
          <w:rFonts w:hint="eastAsia"/>
          <w:i/>
          <w:sz w:val="24"/>
          <w:szCs w:val="24"/>
        </w:rPr>
        <w:t>以内。</w:t>
      </w:r>
    </w:p>
    <w:p>
      <w:pPr>
        <w:pStyle w:val="56"/>
        <w:numPr>
          <w:ilvl w:val="0"/>
          <w:numId w:val="0"/>
        </w:numPr>
        <w:spacing w:line="360" w:lineRule="auto"/>
        <w:ind w:firstLine="480" w:firstLineChars="200"/>
        <w:rPr>
          <w:sz w:val="24"/>
          <w:szCs w:val="24"/>
        </w:rPr>
      </w:pPr>
      <w:r>
        <w:rPr>
          <w:rFonts w:hint="eastAsia" w:hAnsi="宋体" w:cs="宋体"/>
          <w:kern w:val="0"/>
          <w:sz w:val="24"/>
          <w:szCs w:val="24"/>
        </w:rPr>
        <w:t>说明：保证充电接口连接可靠性。</w:t>
      </w:r>
    </w:p>
    <w:p>
      <w:pPr>
        <w:widowControl/>
        <w:numPr>
          <w:numId w:val="0"/>
        </w:numPr>
        <w:tabs>
          <w:tab w:val="left" w:pos="360"/>
        </w:tabs>
        <w:spacing w:line="360" w:lineRule="auto"/>
        <w:ind w:leftChars="0"/>
        <w:jc w:val="left"/>
        <w:outlineLvl w:val="3"/>
        <w:rPr>
          <w:sz w:val="24"/>
        </w:rPr>
      </w:pPr>
      <w:r>
        <w:rPr>
          <w:rFonts w:hint="eastAsia"/>
          <w:sz w:val="24"/>
          <w:lang w:val="en-US" w:eastAsia="zh-CN"/>
        </w:rPr>
        <w:t>5.3.11.4</w:t>
      </w:r>
      <w:r>
        <w:rPr>
          <w:rFonts w:hint="eastAsia"/>
          <w:sz w:val="24"/>
        </w:rPr>
        <w:t>控制安全</w:t>
      </w:r>
    </w:p>
    <w:p>
      <w:pPr>
        <w:pStyle w:val="56"/>
        <w:numPr>
          <w:ilvl w:val="0"/>
          <w:numId w:val="0"/>
        </w:numPr>
        <w:spacing w:line="360" w:lineRule="auto"/>
        <w:rPr>
          <w:sz w:val="24"/>
          <w:szCs w:val="24"/>
        </w:rPr>
      </w:pPr>
      <w:r>
        <w:rPr>
          <w:rFonts w:hint="eastAsia"/>
          <w:sz w:val="24"/>
          <w:szCs w:val="24"/>
        </w:rPr>
        <w:t>1)</w:t>
      </w:r>
      <w:r>
        <w:rPr>
          <w:rFonts w:hint="eastAsia"/>
          <w:i/>
          <w:sz w:val="24"/>
          <w:szCs w:val="24"/>
        </w:rPr>
        <w:t>B级电压电路通电时，应先接通低压、后接通高压；断电时，应先断开高压，后断开低压。</w:t>
      </w:r>
    </w:p>
    <w:p>
      <w:pPr>
        <w:pStyle w:val="56"/>
        <w:numPr>
          <w:ilvl w:val="0"/>
          <w:numId w:val="0"/>
        </w:numPr>
        <w:spacing w:line="360" w:lineRule="auto"/>
        <w:ind w:firstLine="480" w:firstLineChars="200"/>
        <w:rPr>
          <w:sz w:val="24"/>
          <w:szCs w:val="24"/>
        </w:rPr>
      </w:pPr>
      <w:r>
        <w:rPr>
          <w:rFonts w:hint="eastAsia" w:hAnsi="宋体"/>
          <w:sz w:val="24"/>
          <w:szCs w:val="24"/>
        </w:rPr>
        <w:t>说明：</w:t>
      </w:r>
      <w:bookmarkStart w:id="35" w:name="OLE_LINK5"/>
      <w:bookmarkStart w:id="36" w:name="OLE_LINK6"/>
      <w:r>
        <w:rPr>
          <w:rFonts w:hint="eastAsia" w:hAnsi="宋体"/>
          <w:sz w:val="24"/>
          <w:szCs w:val="24"/>
        </w:rPr>
        <w:t>目的是保护零部件，对零部件的供电和下电进行保护，防止零部件带载下电。造成的高压冲击，对零部件造成损害和寿命的缩减。</w:t>
      </w:r>
      <w:bookmarkEnd w:id="35"/>
      <w:bookmarkEnd w:id="36"/>
    </w:p>
    <w:p>
      <w:pPr>
        <w:pStyle w:val="56"/>
        <w:numPr>
          <w:ilvl w:val="0"/>
          <w:numId w:val="0"/>
        </w:numPr>
        <w:spacing w:line="360" w:lineRule="auto"/>
        <w:rPr>
          <w:sz w:val="24"/>
          <w:szCs w:val="24"/>
        </w:rPr>
      </w:pPr>
      <w:r>
        <w:rPr>
          <w:rFonts w:hint="eastAsia"/>
          <w:sz w:val="24"/>
          <w:szCs w:val="24"/>
        </w:rPr>
        <w:t>2)</w:t>
      </w:r>
      <w:r>
        <w:rPr>
          <w:rFonts w:hint="eastAsia"/>
          <w:i/>
          <w:sz w:val="24"/>
          <w:szCs w:val="24"/>
        </w:rPr>
        <w:t>整车控制系统应避免在行车过程中电池充</w:t>
      </w:r>
      <w:r>
        <w:rPr>
          <w:i/>
          <w:sz w:val="24"/>
          <w:szCs w:val="24"/>
        </w:rPr>
        <w:t>/</w:t>
      </w:r>
      <w:r>
        <w:rPr>
          <w:rFonts w:hint="eastAsia"/>
          <w:i/>
          <w:sz w:val="24"/>
          <w:szCs w:val="24"/>
        </w:rPr>
        <w:t>放电功率大于电池允许的充放电功率。</w:t>
      </w:r>
    </w:p>
    <w:p>
      <w:pPr>
        <w:pStyle w:val="56"/>
        <w:numPr>
          <w:ilvl w:val="0"/>
          <w:numId w:val="0"/>
        </w:numPr>
        <w:spacing w:line="360" w:lineRule="auto"/>
        <w:ind w:firstLine="480" w:firstLineChars="200"/>
        <w:rPr>
          <w:sz w:val="24"/>
          <w:szCs w:val="24"/>
        </w:rPr>
      </w:pPr>
      <w:r>
        <w:rPr>
          <w:rFonts w:hint="eastAsia" w:hAnsi="宋体"/>
          <w:sz w:val="24"/>
          <w:szCs w:val="24"/>
        </w:rPr>
        <w:t>说明：零部件使用的原则上安全优先，高效使用。电池作为整车高压附件重要的动力源，必须在保证电池寿命的前提下对其使用。为防止充放电功率过大，对电池造成严重的伤害，整车必须依据电池的实际放电能力对能量进行管理。</w:t>
      </w:r>
    </w:p>
    <w:p>
      <w:pPr>
        <w:pStyle w:val="56"/>
        <w:numPr>
          <w:ilvl w:val="0"/>
          <w:numId w:val="0"/>
        </w:numPr>
        <w:spacing w:line="360" w:lineRule="auto"/>
        <w:rPr>
          <w:sz w:val="24"/>
          <w:szCs w:val="24"/>
        </w:rPr>
      </w:pPr>
      <w:r>
        <w:rPr>
          <w:rFonts w:hint="eastAsia"/>
          <w:sz w:val="24"/>
          <w:szCs w:val="24"/>
        </w:rPr>
        <w:t>3)</w:t>
      </w:r>
      <w:r>
        <w:rPr>
          <w:rFonts w:hint="eastAsia"/>
          <w:i/>
          <w:sz w:val="24"/>
          <w:szCs w:val="24"/>
        </w:rPr>
        <w:t>整车应有一个信号装置标识B级电压电路的通断状态。</w:t>
      </w:r>
    </w:p>
    <w:p>
      <w:pPr>
        <w:pStyle w:val="56"/>
        <w:numPr>
          <w:ilvl w:val="0"/>
          <w:numId w:val="0"/>
        </w:numPr>
        <w:spacing w:line="360" w:lineRule="auto"/>
        <w:ind w:firstLine="480" w:firstLineChars="200"/>
        <w:rPr>
          <w:sz w:val="24"/>
          <w:szCs w:val="24"/>
        </w:rPr>
      </w:pPr>
      <w:r>
        <w:rPr>
          <w:rFonts w:hint="eastAsia" w:hAnsi="宋体"/>
          <w:sz w:val="24"/>
          <w:szCs w:val="24"/>
        </w:rPr>
        <w:t>说明：整车高压电路通断需要给司机提示，便于司机下一步操作或者维修人间进行维护。故通过整车控制系统对B级电路的状态响应情况，通过仪表显示B级电压电路的通断状态。</w:t>
      </w:r>
    </w:p>
    <w:p>
      <w:pPr>
        <w:pStyle w:val="56"/>
        <w:numPr>
          <w:ilvl w:val="0"/>
          <w:numId w:val="0"/>
        </w:numPr>
        <w:spacing w:line="360" w:lineRule="auto"/>
        <w:rPr>
          <w:i/>
          <w:sz w:val="24"/>
          <w:szCs w:val="24"/>
        </w:rPr>
      </w:pPr>
      <w:r>
        <w:rPr>
          <w:rFonts w:hint="eastAsia"/>
          <w:sz w:val="24"/>
          <w:szCs w:val="24"/>
        </w:rPr>
        <w:t>4)</w:t>
      </w:r>
      <w:r>
        <w:rPr>
          <w:rFonts w:hint="eastAsia"/>
          <w:i/>
          <w:sz w:val="24"/>
          <w:szCs w:val="24"/>
        </w:rPr>
        <w:t>针对配置与整车安全性能相关的电子系统（如防抱死制动系统和驱动防滑系统）的车辆，整车控制系统应与电子系统有信息交互，并需与电子系统协同工作。</w:t>
      </w:r>
    </w:p>
    <w:p>
      <w:pPr>
        <w:pStyle w:val="56"/>
        <w:numPr>
          <w:ilvl w:val="0"/>
          <w:numId w:val="0"/>
        </w:numPr>
        <w:spacing w:line="360" w:lineRule="auto"/>
        <w:ind w:firstLine="480" w:firstLineChars="200"/>
        <w:rPr>
          <w:sz w:val="24"/>
          <w:szCs w:val="24"/>
        </w:rPr>
      </w:pPr>
      <w:r>
        <w:rPr>
          <w:rFonts w:hint="eastAsia" w:hAnsi="宋体"/>
          <w:sz w:val="24"/>
          <w:szCs w:val="24"/>
        </w:rPr>
        <w:t>说明：两者分别属于制动防抱死和驱动防滑系统，需要对其设定不同的启动启动条件，防止误操作，造成两者同时开启。</w:t>
      </w:r>
    </w:p>
    <w:p>
      <w:pPr>
        <w:pStyle w:val="56"/>
        <w:numPr>
          <w:ilvl w:val="0"/>
          <w:numId w:val="0"/>
        </w:numPr>
        <w:spacing w:line="360" w:lineRule="auto"/>
        <w:rPr>
          <w:sz w:val="24"/>
          <w:szCs w:val="24"/>
        </w:rPr>
      </w:pPr>
      <w:r>
        <w:rPr>
          <w:rFonts w:hint="eastAsia"/>
          <w:sz w:val="24"/>
          <w:szCs w:val="24"/>
        </w:rPr>
        <w:t>5)</w:t>
      </w:r>
      <w:r>
        <w:rPr>
          <w:rFonts w:hint="eastAsia"/>
          <w:i/>
          <w:sz w:val="24"/>
          <w:szCs w:val="24"/>
        </w:rPr>
        <w:t>电机控制、发电机控制等关键通信报文应增加序列号，接收方评估序列号正常后才能响应控制指令，如有异常，接收方设备应进入安全状态。</w:t>
      </w:r>
    </w:p>
    <w:p>
      <w:pPr>
        <w:pStyle w:val="56"/>
        <w:numPr>
          <w:ilvl w:val="0"/>
          <w:numId w:val="0"/>
        </w:numPr>
        <w:spacing w:line="360" w:lineRule="auto"/>
        <w:ind w:firstLine="480" w:firstLineChars="200"/>
        <w:rPr>
          <w:sz w:val="24"/>
          <w:szCs w:val="24"/>
        </w:rPr>
      </w:pPr>
      <w:r>
        <w:rPr>
          <w:rFonts w:hint="eastAsia" w:hAnsi="宋体"/>
          <w:sz w:val="24"/>
          <w:szCs w:val="24"/>
        </w:rPr>
        <w:t>说明：</w:t>
      </w:r>
      <w:r>
        <w:rPr>
          <w:rFonts w:hint="eastAsia" w:cs="宋体"/>
          <w:sz w:val="24"/>
          <w:szCs w:val="24"/>
          <w:lang w:val="zh-CN"/>
        </w:rPr>
        <w:t>提高通讯安全性，防止报文重复、报文丢失、报文插入、报文乱序。</w:t>
      </w:r>
    </w:p>
    <w:p>
      <w:pPr>
        <w:pStyle w:val="56"/>
        <w:numPr>
          <w:ilvl w:val="0"/>
          <w:numId w:val="0"/>
        </w:numPr>
        <w:spacing w:line="360" w:lineRule="auto"/>
        <w:rPr>
          <w:sz w:val="24"/>
          <w:szCs w:val="24"/>
        </w:rPr>
      </w:pPr>
      <w:r>
        <w:rPr>
          <w:rFonts w:hint="eastAsia"/>
          <w:sz w:val="24"/>
          <w:szCs w:val="24"/>
        </w:rPr>
        <w:t>6)</w:t>
      </w:r>
      <w:r>
        <w:rPr>
          <w:rFonts w:hint="eastAsia"/>
          <w:i/>
          <w:sz w:val="24"/>
          <w:szCs w:val="24"/>
        </w:rPr>
        <w:t>通信系统根据数据时窗读取访问，如果在时间窗内数据没有更新则认为通信超时；整车控制系统接收超时时，应通过声或光报警提示驾驶员；驱动系统接收超时时，应进入安全状态。</w:t>
      </w:r>
    </w:p>
    <w:p>
      <w:pPr>
        <w:pStyle w:val="56"/>
        <w:numPr>
          <w:ilvl w:val="0"/>
          <w:numId w:val="0"/>
        </w:numPr>
        <w:spacing w:line="360" w:lineRule="auto"/>
        <w:ind w:firstLine="480" w:firstLineChars="200"/>
        <w:rPr>
          <w:sz w:val="24"/>
          <w:szCs w:val="24"/>
        </w:rPr>
      </w:pPr>
      <w:r>
        <w:rPr>
          <w:rFonts w:hint="eastAsia" w:hAnsi="宋体"/>
          <w:sz w:val="24"/>
          <w:szCs w:val="24"/>
        </w:rPr>
        <w:t>说明：</w:t>
      </w:r>
      <w:r>
        <w:rPr>
          <w:rFonts w:hint="eastAsia" w:cs="宋体"/>
          <w:sz w:val="24"/>
          <w:szCs w:val="24"/>
          <w:lang w:val="zh-CN"/>
        </w:rPr>
        <w:t>提高实时性要求，防止报文延时。</w:t>
      </w:r>
    </w:p>
    <w:p>
      <w:pPr>
        <w:pStyle w:val="56"/>
        <w:numPr>
          <w:ilvl w:val="0"/>
          <w:numId w:val="0"/>
        </w:numPr>
        <w:spacing w:line="360" w:lineRule="auto"/>
        <w:rPr>
          <w:sz w:val="24"/>
          <w:szCs w:val="24"/>
        </w:rPr>
      </w:pPr>
      <w:r>
        <w:rPr>
          <w:rFonts w:hint="eastAsia"/>
          <w:sz w:val="24"/>
          <w:szCs w:val="24"/>
        </w:rPr>
        <w:t>7)</w:t>
      </w:r>
      <w:r>
        <w:rPr>
          <w:rFonts w:hint="eastAsia"/>
          <w:i/>
          <w:sz w:val="24"/>
          <w:szCs w:val="24"/>
        </w:rPr>
        <w:t>整车控制系统应具有故障诊断功能，包括常见的硬件故障、软件故障、通信故障等。</w:t>
      </w:r>
    </w:p>
    <w:p>
      <w:pPr>
        <w:pStyle w:val="56"/>
        <w:numPr>
          <w:ilvl w:val="0"/>
          <w:numId w:val="0"/>
        </w:numPr>
        <w:spacing w:line="360" w:lineRule="auto"/>
        <w:ind w:firstLine="480" w:firstLineChars="200"/>
        <w:rPr>
          <w:sz w:val="24"/>
          <w:szCs w:val="24"/>
        </w:rPr>
      </w:pPr>
      <w:r>
        <w:rPr>
          <w:rFonts w:hint="eastAsia" w:hAnsi="宋体"/>
          <w:sz w:val="24"/>
          <w:szCs w:val="24"/>
        </w:rPr>
        <w:t>说明：</w:t>
      </w:r>
      <w:r>
        <w:rPr>
          <w:rFonts w:hint="eastAsia" w:cs="宋体"/>
          <w:sz w:val="24"/>
          <w:szCs w:val="24"/>
          <w:lang w:val="zh-CN"/>
        </w:rPr>
        <w:t>整车控制系统的容错能力，增强实际故障处理能力，降低电动客车的实际运行故障率。</w:t>
      </w:r>
    </w:p>
    <w:p>
      <w:pPr>
        <w:widowControl/>
        <w:numPr>
          <w:numId w:val="0"/>
        </w:numPr>
        <w:tabs>
          <w:tab w:val="left" w:pos="360"/>
        </w:tabs>
        <w:spacing w:line="360" w:lineRule="auto"/>
        <w:ind w:leftChars="0"/>
        <w:jc w:val="left"/>
        <w:outlineLvl w:val="3"/>
        <w:rPr>
          <w:sz w:val="24"/>
        </w:rPr>
      </w:pPr>
      <w:r>
        <w:rPr>
          <w:rFonts w:hint="eastAsia"/>
          <w:sz w:val="24"/>
          <w:lang w:val="en-US" w:eastAsia="zh-CN"/>
        </w:rPr>
        <w:t>5.3.11.2</w:t>
      </w:r>
      <w:r>
        <w:rPr>
          <w:rFonts w:hint="eastAsia"/>
          <w:sz w:val="24"/>
        </w:rPr>
        <w:t>电池管理系统</w:t>
      </w:r>
    </w:p>
    <w:p>
      <w:pPr>
        <w:pStyle w:val="56"/>
        <w:numPr>
          <w:ilvl w:val="0"/>
          <w:numId w:val="0"/>
        </w:numPr>
        <w:spacing w:line="360" w:lineRule="auto"/>
        <w:rPr>
          <w:i/>
          <w:sz w:val="24"/>
          <w:szCs w:val="24"/>
        </w:rPr>
      </w:pPr>
      <w:r>
        <w:rPr>
          <w:rFonts w:hint="eastAsia"/>
          <w:sz w:val="24"/>
          <w:szCs w:val="24"/>
        </w:rPr>
        <w:t>1)</w:t>
      </w:r>
      <w:r>
        <w:rPr>
          <w:i/>
          <w:sz w:val="24"/>
          <w:szCs w:val="24"/>
        </w:rPr>
        <w:t>电池管理系统</w:t>
      </w:r>
      <w:r>
        <w:rPr>
          <w:rFonts w:hint="eastAsia"/>
          <w:i/>
          <w:sz w:val="24"/>
          <w:szCs w:val="24"/>
        </w:rPr>
        <w:t>应符合</w:t>
      </w:r>
      <w:r>
        <w:rPr>
          <w:i/>
          <w:sz w:val="24"/>
          <w:szCs w:val="24"/>
        </w:rPr>
        <w:t>QC/T 897—2011的要求，</w:t>
      </w:r>
      <w:r>
        <w:rPr>
          <w:rFonts w:hint="eastAsia"/>
          <w:i/>
          <w:sz w:val="24"/>
          <w:szCs w:val="24"/>
        </w:rPr>
        <w:t>还</w:t>
      </w:r>
      <w:r>
        <w:rPr>
          <w:i/>
          <w:sz w:val="24"/>
          <w:szCs w:val="24"/>
        </w:rPr>
        <w:t>至少应</w:t>
      </w:r>
      <w:r>
        <w:rPr>
          <w:rFonts w:hint="eastAsia"/>
          <w:i/>
          <w:sz w:val="24"/>
          <w:szCs w:val="24"/>
        </w:rPr>
        <w:t>具备下列功能</w:t>
      </w:r>
      <w:r>
        <w:rPr>
          <w:i/>
          <w:sz w:val="24"/>
          <w:szCs w:val="24"/>
        </w:rPr>
        <w:t>：</w:t>
      </w:r>
    </w:p>
    <w:p>
      <w:pPr>
        <w:pStyle w:val="47"/>
        <w:spacing w:line="360" w:lineRule="auto"/>
        <w:ind w:left="0" w:firstLine="485" w:firstLineChars="202"/>
        <w:rPr>
          <w:sz w:val="24"/>
          <w:szCs w:val="24"/>
        </w:rPr>
      </w:pPr>
      <w:r>
        <w:rPr>
          <w:rFonts w:hint="eastAsia"/>
          <w:i/>
          <w:sz w:val="24"/>
          <w:szCs w:val="24"/>
        </w:rPr>
        <w:t>主处理器具备防止程序由于干扰原因进入“死循环”的功能；</w:t>
      </w:r>
    </w:p>
    <w:p>
      <w:pPr>
        <w:pStyle w:val="47"/>
        <w:numPr>
          <w:ilvl w:val="0"/>
          <w:numId w:val="0"/>
        </w:numPr>
        <w:spacing w:line="360" w:lineRule="auto"/>
        <w:ind w:firstLine="480" w:firstLineChars="200"/>
        <w:rPr>
          <w:sz w:val="24"/>
          <w:szCs w:val="24"/>
        </w:rPr>
      </w:pPr>
      <w:r>
        <w:rPr>
          <w:rFonts w:hint="eastAsia"/>
          <w:sz w:val="24"/>
          <w:szCs w:val="24"/>
        </w:rPr>
        <w:t>说明：电路可靠性设计，防止CPU程序由于干扰等原因而不受控制</w:t>
      </w:r>
    </w:p>
    <w:p>
      <w:pPr>
        <w:pStyle w:val="47"/>
        <w:spacing w:line="360" w:lineRule="auto"/>
        <w:ind w:left="0" w:firstLine="485" w:firstLineChars="202"/>
        <w:rPr>
          <w:i/>
          <w:sz w:val="24"/>
          <w:szCs w:val="24"/>
        </w:rPr>
      </w:pPr>
      <w:r>
        <w:rPr>
          <w:i/>
          <w:sz w:val="24"/>
          <w:szCs w:val="24"/>
        </w:rPr>
        <w:t>主处理器使用的</w:t>
      </w:r>
      <w:r>
        <w:rPr>
          <w:rFonts w:hint="eastAsia"/>
          <w:i/>
          <w:sz w:val="24"/>
          <w:szCs w:val="24"/>
        </w:rPr>
        <w:t>存储介质</w:t>
      </w:r>
      <w:r>
        <w:rPr>
          <w:i/>
          <w:sz w:val="24"/>
          <w:szCs w:val="24"/>
        </w:rPr>
        <w:t>应具备</w:t>
      </w:r>
      <w:r>
        <w:rPr>
          <w:rFonts w:hint="eastAsia"/>
          <w:i/>
          <w:sz w:val="24"/>
          <w:szCs w:val="24"/>
        </w:rPr>
        <w:t>错误检测码</w:t>
      </w:r>
      <w:r>
        <w:rPr>
          <w:i/>
          <w:sz w:val="24"/>
          <w:szCs w:val="24"/>
        </w:rPr>
        <w:t>校验功能</w:t>
      </w:r>
      <w:r>
        <w:rPr>
          <w:rFonts w:hint="eastAsia"/>
          <w:i/>
          <w:sz w:val="24"/>
          <w:szCs w:val="24"/>
        </w:rPr>
        <w:t>；</w:t>
      </w:r>
    </w:p>
    <w:p>
      <w:pPr>
        <w:pStyle w:val="47"/>
        <w:numPr>
          <w:ilvl w:val="0"/>
          <w:numId w:val="0"/>
        </w:numPr>
        <w:spacing w:line="360" w:lineRule="auto"/>
        <w:ind w:firstLine="480" w:firstLineChars="200"/>
        <w:rPr>
          <w:sz w:val="24"/>
          <w:szCs w:val="24"/>
        </w:rPr>
      </w:pPr>
      <w:r>
        <w:rPr>
          <w:rFonts w:hint="eastAsia"/>
          <w:sz w:val="24"/>
          <w:szCs w:val="24"/>
        </w:rPr>
        <w:t>说明：保证系统存储、程序和代码安全与可靠性，从而保证BMS系统可靠性。</w:t>
      </w:r>
    </w:p>
    <w:p>
      <w:pPr>
        <w:pStyle w:val="47"/>
        <w:spacing w:line="360" w:lineRule="auto"/>
        <w:ind w:left="0" w:firstLine="485" w:firstLineChars="202"/>
        <w:rPr>
          <w:i/>
          <w:sz w:val="24"/>
          <w:szCs w:val="24"/>
        </w:rPr>
      </w:pPr>
      <w:r>
        <w:rPr>
          <w:i/>
          <w:sz w:val="24"/>
          <w:szCs w:val="24"/>
        </w:rPr>
        <w:t>至少</w:t>
      </w:r>
      <w:r>
        <w:rPr>
          <w:rFonts w:hint="eastAsia"/>
          <w:i/>
          <w:sz w:val="24"/>
          <w:szCs w:val="24"/>
        </w:rPr>
        <w:t>2种独立的手段对系统总电压进行测量和校验的</w:t>
      </w:r>
      <w:r>
        <w:rPr>
          <w:i/>
          <w:sz w:val="24"/>
          <w:szCs w:val="24"/>
        </w:rPr>
        <w:t>功能</w:t>
      </w:r>
      <w:r>
        <w:rPr>
          <w:rFonts w:hint="eastAsia"/>
          <w:i/>
          <w:sz w:val="24"/>
          <w:szCs w:val="24"/>
        </w:rPr>
        <w:t>；</w:t>
      </w:r>
    </w:p>
    <w:p>
      <w:pPr>
        <w:pStyle w:val="46"/>
        <w:spacing w:line="360" w:lineRule="auto"/>
        <w:ind w:firstLine="480"/>
        <w:rPr>
          <w:sz w:val="24"/>
        </w:rPr>
      </w:pPr>
      <w:r>
        <w:rPr>
          <w:rFonts w:hint="eastAsia"/>
          <w:sz w:val="24"/>
        </w:rPr>
        <w:t>说明：通过2种独立手段（放电继电器（接触器）电池侧采集总电压；通过每个单体蓄电池采集电压总和）确保蓄电池包和单体蓄电池在正常的电压区间内安全运行。</w:t>
      </w:r>
    </w:p>
    <w:p>
      <w:pPr>
        <w:pStyle w:val="47"/>
        <w:spacing w:line="360" w:lineRule="auto"/>
        <w:ind w:left="0" w:firstLine="485" w:firstLineChars="202"/>
        <w:rPr>
          <w:sz w:val="24"/>
          <w:szCs w:val="24"/>
        </w:rPr>
      </w:pPr>
      <w:r>
        <w:rPr>
          <w:i/>
          <w:sz w:val="24"/>
          <w:szCs w:val="24"/>
        </w:rPr>
        <w:t>诊断</w:t>
      </w:r>
      <w:r>
        <w:rPr>
          <w:rFonts w:hint="eastAsia"/>
          <w:i/>
          <w:sz w:val="24"/>
          <w:szCs w:val="24"/>
        </w:rPr>
        <w:t>均衡功能有效的能力</w:t>
      </w:r>
      <w:r>
        <w:rPr>
          <w:rFonts w:hint="eastAsia"/>
          <w:sz w:val="24"/>
          <w:szCs w:val="24"/>
        </w:rPr>
        <w:t>；</w:t>
      </w:r>
    </w:p>
    <w:p>
      <w:pPr>
        <w:pStyle w:val="47"/>
        <w:numPr>
          <w:ilvl w:val="0"/>
          <w:numId w:val="0"/>
        </w:numPr>
        <w:spacing w:line="360" w:lineRule="auto"/>
        <w:ind w:firstLine="480" w:firstLineChars="200"/>
        <w:rPr>
          <w:sz w:val="24"/>
          <w:szCs w:val="24"/>
        </w:rPr>
      </w:pPr>
      <w:r>
        <w:rPr>
          <w:rFonts w:hint="eastAsia"/>
          <w:sz w:val="24"/>
          <w:szCs w:val="24"/>
        </w:rPr>
        <w:t>说明：通过对蓄电池包内单体蓄电池的均衡，尽量降低电池系统内部动力单体蓄电池的差异，确保单体蓄电池一致性。</w:t>
      </w:r>
    </w:p>
    <w:p>
      <w:pPr>
        <w:pStyle w:val="56"/>
        <w:numPr>
          <w:ilvl w:val="0"/>
          <w:numId w:val="0"/>
        </w:numPr>
        <w:spacing w:line="360" w:lineRule="auto"/>
        <w:rPr>
          <w:sz w:val="24"/>
          <w:szCs w:val="24"/>
        </w:rPr>
      </w:pPr>
      <w:r>
        <w:rPr>
          <w:rFonts w:hint="eastAsia"/>
          <w:sz w:val="24"/>
          <w:szCs w:val="24"/>
        </w:rPr>
        <w:t>2)</w:t>
      </w:r>
      <w:r>
        <w:rPr>
          <w:rFonts w:hint="eastAsia"/>
          <w:i/>
          <w:sz w:val="24"/>
          <w:szCs w:val="24"/>
        </w:rPr>
        <w:t>电池管理系统应具备故障报警功能，并将报警信息通过整车仪表和远程安全监控系统等及时报出，报警信息应至少包括过温、过电压、欠电压。</w:t>
      </w:r>
    </w:p>
    <w:p>
      <w:pPr>
        <w:pStyle w:val="56"/>
        <w:numPr>
          <w:ilvl w:val="0"/>
          <w:numId w:val="0"/>
        </w:numPr>
        <w:spacing w:line="360" w:lineRule="auto"/>
        <w:ind w:firstLine="480" w:firstLineChars="200"/>
        <w:rPr>
          <w:rFonts w:hint="eastAsia"/>
          <w:sz w:val="24"/>
          <w:szCs w:val="24"/>
        </w:rPr>
      </w:pPr>
      <w:r>
        <w:rPr>
          <w:rFonts w:hint="eastAsia"/>
          <w:sz w:val="24"/>
          <w:szCs w:val="24"/>
        </w:rPr>
        <w:t>说明：当蓄电池包内发生热失控等紧急情况时，电池管理系统通过在整车仪表盘报故障显示，限制功率, 通过明显的声和光信号提示驾驶员向整车控制系统传递信息。</w:t>
      </w:r>
    </w:p>
    <w:p>
      <w:pPr>
        <w:widowControl/>
        <w:numPr>
          <w:numId w:val="0"/>
        </w:numPr>
        <w:tabs>
          <w:tab w:val="left" w:pos="360"/>
        </w:tabs>
        <w:spacing w:line="360" w:lineRule="auto"/>
        <w:ind w:leftChars="0"/>
        <w:jc w:val="left"/>
        <w:outlineLvl w:val="3"/>
        <w:rPr>
          <w:sz w:val="24"/>
        </w:rPr>
      </w:pPr>
      <w:r>
        <w:rPr>
          <w:rFonts w:hint="eastAsia"/>
          <w:sz w:val="24"/>
          <w:lang w:val="en-US" w:eastAsia="zh-CN"/>
        </w:rPr>
        <w:t>5.3.12</w:t>
      </w:r>
      <w:r>
        <w:rPr>
          <w:rFonts w:hint="eastAsia"/>
          <w:sz w:val="24"/>
        </w:rPr>
        <w:t>关于附录B</w:t>
      </w:r>
    </w:p>
    <w:p>
      <w:pPr>
        <w:pStyle w:val="35"/>
        <w:wordWrap/>
        <w:spacing w:beforeLines="0" w:afterLines="0" w:line="360" w:lineRule="auto"/>
        <w:ind w:left="0"/>
      </w:pPr>
      <w:r>
        <w:rPr>
          <w:rFonts w:hint="eastAsia"/>
        </w:rPr>
        <w:t>测试对象：</w:t>
      </w:r>
    </w:p>
    <w:p>
      <w:pPr>
        <w:pStyle w:val="26"/>
        <w:tabs>
          <w:tab w:val="left" w:pos="360"/>
        </w:tabs>
        <w:spacing w:before="0" w:after="0" w:line="360" w:lineRule="auto"/>
        <w:ind w:firstLine="480" w:firstLineChars="200"/>
        <w:rPr>
          <w:sz w:val="24"/>
          <w:szCs w:val="24"/>
        </w:rPr>
      </w:pPr>
      <w:r>
        <w:rPr>
          <w:rFonts w:hint="eastAsia"/>
          <w:sz w:val="24"/>
          <w:szCs w:val="24"/>
        </w:rPr>
        <w:t>电池管理系统管理的最小蓄电池单元。</w:t>
      </w:r>
    </w:p>
    <w:p>
      <w:pPr>
        <w:pStyle w:val="35"/>
        <w:wordWrap/>
        <w:spacing w:beforeLines="0" w:afterLines="0" w:line="360" w:lineRule="auto"/>
        <w:ind w:left="0"/>
        <w:rPr>
          <w:sz w:val="24"/>
          <w:szCs w:val="24"/>
        </w:rPr>
      </w:pPr>
      <w:r>
        <w:rPr>
          <w:rFonts w:hint="eastAsia" w:hAnsi="宋体"/>
          <w:sz w:val="24"/>
          <w:szCs w:val="24"/>
        </w:rPr>
        <w:t>试验</w:t>
      </w:r>
      <w:r>
        <w:rPr>
          <w:rFonts w:hint="eastAsia"/>
          <w:sz w:val="24"/>
          <w:szCs w:val="24"/>
        </w:rPr>
        <w:t>方法：</w:t>
      </w:r>
    </w:p>
    <w:p>
      <w:pPr>
        <w:pStyle w:val="36"/>
        <w:numPr>
          <w:ilvl w:val="2"/>
          <w:numId w:val="0"/>
        </w:numPr>
        <w:spacing w:line="360" w:lineRule="auto"/>
        <w:rPr>
          <w:rFonts w:ascii="宋体" w:hAnsi="宋体" w:eastAsia="宋体"/>
          <w:i/>
          <w:sz w:val="24"/>
          <w:szCs w:val="24"/>
        </w:rPr>
      </w:pPr>
      <w:r>
        <w:rPr>
          <w:rFonts w:hint="eastAsia"/>
        </w:rPr>
        <w:t>1)</w:t>
      </w:r>
      <w:r>
        <w:rPr>
          <w:rFonts w:hint="eastAsia" w:ascii="宋体" w:hAnsi="宋体" w:eastAsia="宋体"/>
          <w:i/>
          <w:sz w:val="24"/>
          <w:szCs w:val="24"/>
        </w:rPr>
        <w:t>完成测试对象与加热装置的装配，加热功率要求见表</w:t>
      </w:r>
      <w:r>
        <w:rPr>
          <w:rFonts w:ascii="宋体" w:hAnsi="宋体" w:eastAsia="宋体"/>
          <w:i/>
          <w:sz w:val="24"/>
          <w:szCs w:val="24"/>
        </w:rPr>
        <w:t>3</w:t>
      </w:r>
      <w:r>
        <w:rPr>
          <w:rFonts w:hint="eastAsia" w:ascii="宋体" w:hAnsi="宋体" w:eastAsia="宋体"/>
          <w:i/>
          <w:sz w:val="24"/>
          <w:szCs w:val="24"/>
        </w:rPr>
        <w:t>,加热装置与蓄电池应直接接触（参见图</w:t>
      </w:r>
      <w:r>
        <w:rPr>
          <w:rFonts w:ascii="宋体" w:hAnsi="宋体" w:eastAsia="宋体"/>
          <w:i/>
          <w:sz w:val="24"/>
          <w:szCs w:val="24"/>
        </w:rPr>
        <w:t>1</w:t>
      </w:r>
      <w:r>
        <w:rPr>
          <w:rFonts w:hint="eastAsia" w:ascii="宋体" w:hAnsi="宋体" w:eastAsia="宋体"/>
          <w:i/>
          <w:sz w:val="24"/>
          <w:szCs w:val="24"/>
        </w:rPr>
        <w:t>），安装温度监测器，监测测试对象的正、负极柱，和各可测面几何中心的温度，温度数据采集频率要求不小于1Hz记录一个数据，精度要求小于±</w:t>
      </w:r>
      <w:r>
        <w:rPr>
          <w:rFonts w:ascii="宋体" w:hAnsi="宋体" w:eastAsia="宋体"/>
          <w:i/>
          <w:sz w:val="24"/>
          <w:szCs w:val="24"/>
        </w:rPr>
        <w:t>0.5</w:t>
      </w:r>
      <w:r>
        <w:rPr>
          <w:rFonts w:hint="eastAsia" w:ascii="宋体" w:hAnsi="宋体" w:eastAsia="宋体"/>
          <w:i/>
          <w:sz w:val="24"/>
          <w:szCs w:val="24"/>
        </w:rPr>
        <w:t>℃。</w:t>
      </w:r>
    </w:p>
    <w:p>
      <w:pPr>
        <w:pStyle w:val="26"/>
        <w:tabs>
          <w:tab w:val="left" w:pos="360"/>
        </w:tabs>
        <w:spacing w:line="360" w:lineRule="auto"/>
        <w:jc w:val="center"/>
        <w:rPr>
          <w:rFonts w:ascii="宋体" w:hAnsi="宋体" w:eastAsia="宋体"/>
          <w:i/>
          <w:sz w:val="24"/>
          <w:szCs w:val="24"/>
        </w:rPr>
      </w:pPr>
      <w:r>
        <w:rPr>
          <w:rFonts w:hint="eastAsia" w:ascii="宋体" w:hAnsi="宋体" w:eastAsia="宋体"/>
          <w:i/>
          <w:sz w:val="24"/>
          <w:szCs w:val="24"/>
        </w:rPr>
        <w:t>表B1</w:t>
      </w:r>
      <w:r>
        <w:rPr>
          <w:rFonts w:ascii="宋体" w:hAnsi="宋体" w:eastAsia="宋体"/>
          <w:i/>
          <w:sz w:val="24"/>
          <w:szCs w:val="24"/>
        </w:rPr>
        <w:t>：</w:t>
      </w:r>
      <w:r>
        <w:rPr>
          <w:rFonts w:hint="eastAsia" w:ascii="宋体" w:hAnsi="宋体" w:eastAsia="宋体"/>
          <w:i/>
          <w:sz w:val="24"/>
          <w:szCs w:val="24"/>
        </w:rPr>
        <w:t>加热装置</w:t>
      </w:r>
      <w:r>
        <w:rPr>
          <w:rFonts w:ascii="宋体" w:hAnsi="宋体" w:eastAsia="宋体"/>
          <w:i/>
          <w:sz w:val="24"/>
          <w:szCs w:val="24"/>
        </w:rPr>
        <w:t>功率</w:t>
      </w:r>
      <w:r>
        <w:rPr>
          <w:rFonts w:hint="eastAsia" w:ascii="宋体" w:hAnsi="宋体" w:eastAsia="宋体"/>
          <w:i/>
          <w:sz w:val="24"/>
          <w:szCs w:val="24"/>
        </w:rPr>
        <w:t>选择</w:t>
      </w:r>
    </w:p>
    <w:tbl>
      <w:tblPr>
        <w:tblStyle w:val="18"/>
        <w:tblW w:w="9356" w:type="dxa"/>
        <w:tblInd w:w="1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4"/>
        <w:gridCol w:w="3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 w:hRule="atLeast"/>
        </w:trPr>
        <w:tc>
          <w:tcPr>
            <w:tcW w:w="6204" w:type="dxa"/>
            <w:vAlign w:val="top"/>
          </w:tcPr>
          <w:p>
            <w:pPr>
              <w:spacing w:line="360" w:lineRule="auto"/>
              <w:jc w:val="center"/>
              <w:rPr>
                <w:rFonts w:ascii="宋体" w:hAnsi="宋体" w:eastAsia="宋体"/>
                <w:i/>
                <w:sz w:val="24"/>
              </w:rPr>
            </w:pPr>
            <w:r>
              <w:rPr>
                <w:rFonts w:hint="eastAsia" w:ascii="宋体" w:hAnsi="宋体" w:eastAsia="宋体"/>
                <w:i/>
                <w:sz w:val="24"/>
              </w:rPr>
              <w:t>测试对象容量</w:t>
            </w:r>
            <w:r>
              <w:rPr>
                <w:rFonts w:ascii="宋体" w:hAnsi="宋体" w:eastAsia="宋体"/>
                <w:i/>
                <w:sz w:val="24"/>
              </w:rPr>
              <w:t>x</w:t>
            </w:r>
            <w:r>
              <w:rPr>
                <w:rFonts w:hint="eastAsia" w:ascii="宋体" w:hAnsi="宋体" w:eastAsia="宋体"/>
                <w:i/>
                <w:sz w:val="24"/>
              </w:rPr>
              <w:t>（W</w:t>
            </w:r>
            <w:r>
              <w:rPr>
                <w:rFonts w:ascii="宋体" w:hAnsi="宋体" w:eastAsia="宋体"/>
                <w:i/>
                <w:sz w:val="24"/>
              </w:rPr>
              <w:t>h</w:t>
            </w:r>
            <w:r>
              <w:rPr>
                <w:rFonts w:hint="eastAsia" w:ascii="宋体" w:hAnsi="宋体" w:eastAsia="宋体"/>
                <w:i/>
                <w:sz w:val="24"/>
              </w:rPr>
              <w:t>）</w:t>
            </w:r>
          </w:p>
        </w:tc>
        <w:tc>
          <w:tcPr>
            <w:tcW w:w="3152" w:type="dxa"/>
            <w:vAlign w:val="top"/>
          </w:tcPr>
          <w:p>
            <w:pPr>
              <w:spacing w:line="360" w:lineRule="auto"/>
              <w:jc w:val="center"/>
              <w:rPr>
                <w:rFonts w:ascii="宋体" w:hAnsi="宋体" w:eastAsia="宋体"/>
                <w:i/>
                <w:sz w:val="24"/>
              </w:rPr>
            </w:pPr>
            <w:r>
              <w:rPr>
                <w:rFonts w:ascii="宋体" w:hAnsi="宋体" w:eastAsia="宋体"/>
                <w:i/>
                <w:sz w:val="24"/>
              </w:rPr>
              <w:t>加热</w:t>
            </w:r>
            <w:r>
              <w:rPr>
                <w:rFonts w:hint="eastAsia" w:ascii="宋体" w:hAnsi="宋体" w:eastAsia="宋体"/>
                <w:i/>
                <w:sz w:val="24"/>
              </w:rPr>
              <w:t>器最小</w:t>
            </w:r>
            <w:r>
              <w:rPr>
                <w:rFonts w:ascii="宋体" w:hAnsi="宋体" w:eastAsia="宋体"/>
                <w:i/>
                <w:sz w:val="24"/>
              </w:rPr>
              <w:t>功率（W）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6204" w:type="dxa"/>
            <w:vAlign w:val="bottom"/>
          </w:tcPr>
          <w:p>
            <w:pPr>
              <w:spacing w:line="360" w:lineRule="auto"/>
              <w:jc w:val="center"/>
              <w:rPr>
                <w:rFonts w:ascii="宋体" w:hAnsi="宋体" w:eastAsia="宋体"/>
                <w:i/>
                <w:sz w:val="24"/>
              </w:rPr>
            </w:pPr>
            <w:r>
              <w:rPr>
                <w:rFonts w:ascii="宋体" w:hAnsi="宋体" w:eastAsia="宋体"/>
                <w:i/>
                <w:sz w:val="24"/>
              </w:rPr>
              <w:t>&lt;=</w:t>
            </w:r>
            <w:r>
              <w:rPr>
                <w:rFonts w:hint="eastAsia" w:ascii="宋体" w:hAnsi="宋体" w:eastAsia="宋体"/>
                <w:i/>
                <w:sz w:val="24"/>
              </w:rPr>
              <w:t>10</w:t>
            </w:r>
            <w:r>
              <w:rPr>
                <w:rFonts w:ascii="宋体" w:hAnsi="宋体" w:eastAsia="宋体"/>
                <w:i/>
                <w:sz w:val="24"/>
              </w:rPr>
              <w:t>0</w:t>
            </w:r>
          </w:p>
        </w:tc>
        <w:tc>
          <w:tcPr>
            <w:tcW w:w="3152" w:type="dxa"/>
            <w:vAlign w:val="top"/>
          </w:tcPr>
          <w:p>
            <w:pPr>
              <w:spacing w:line="360" w:lineRule="auto"/>
              <w:jc w:val="center"/>
              <w:rPr>
                <w:rFonts w:ascii="宋体" w:hAnsi="宋体" w:eastAsia="宋体"/>
                <w:i/>
                <w:sz w:val="24"/>
              </w:rPr>
            </w:pPr>
            <w:r>
              <w:rPr>
                <w:rFonts w:hint="eastAsia" w:ascii="宋体" w:hAnsi="宋体" w:eastAsia="宋体"/>
                <w:i/>
                <w:sz w:val="24"/>
              </w:rPr>
              <w:t>2</w:t>
            </w:r>
            <w:r>
              <w:rPr>
                <w:rFonts w:ascii="宋体" w:hAnsi="宋体" w:eastAsia="宋体"/>
                <w:i/>
                <w:sz w:val="24"/>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 w:hRule="atLeast"/>
        </w:trPr>
        <w:tc>
          <w:tcPr>
            <w:tcW w:w="6204" w:type="dxa"/>
            <w:vAlign w:val="bottom"/>
          </w:tcPr>
          <w:p>
            <w:pPr>
              <w:spacing w:line="360" w:lineRule="auto"/>
              <w:jc w:val="center"/>
              <w:rPr>
                <w:rFonts w:ascii="宋体" w:hAnsi="宋体" w:eastAsia="宋体"/>
                <w:i/>
                <w:sz w:val="24"/>
              </w:rPr>
            </w:pPr>
            <w:r>
              <w:rPr>
                <w:rFonts w:hint="eastAsia" w:ascii="宋体" w:hAnsi="宋体" w:eastAsia="宋体"/>
                <w:i/>
                <w:sz w:val="24"/>
              </w:rPr>
              <w:t>20</w:t>
            </w:r>
            <w:r>
              <w:rPr>
                <w:rFonts w:ascii="宋体" w:hAnsi="宋体" w:eastAsia="宋体"/>
                <w:i/>
                <w:sz w:val="24"/>
              </w:rPr>
              <w:t>0&lt;x&lt;=</w:t>
            </w:r>
            <w:r>
              <w:rPr>
                <w:rFonts w:hint="eastAsia" w:ascii="宋体" w:hAnsi="宋体" w:eastAsia="宋体"/>
                <w:i/>
                <w:sz w:val="24"/>
              </w:rPr>
              <w:t>80</w:t>
            </w:r>
            <w:r>
              <w:rPr>
                <w:rFonts w:ascii="宋体" w:hAnsi="宋体" w:eastAsia="宋体"/>
                <w:i/>
                <w:sz w:val="24"/>
              </w:rPr>
              <w:t>0</w:t>
            </w:r>
          </w:p>
        </w:tc>
        <w:tc>
          <w:tcPr>
            <w:tcW w:w="3152" w:type="dxa"/>
            <w:vAlign w:val="top"/>
          </w:tcPr>
          <w:p>
            <w:pPr>
              <w:spacing w:line="360" w:lineRule="auto"/>
              <w:jc w:val="center"/>
              <w:rPr>
                <w:rFonts w:ascii="宋体" w:hAnsi="宋体" w:eastAsia="宋体"/>
                <w:i/>
                <w:sz w:val="24"/>
              </w:rPr>
            </w:pPr>
            <w:r>
              <w:rPr>
                <w:rFonts w:hint="eastAsia" w:ascii="宋体" w:hAnsi="宋体" w:eastAsia="宋体"/>
                <w:i/>
                <w:sz w:val="24"/>
              </w:rPr>
              <w:t>5</w:t>
            </w:r>
            <w:r>
              <w:rPr>
                <w:rFonts w:ascii="宋体" w:hAnsi="宋体" w:eastAsia="宋体"/>
                <w:i/>
                <w:sz w:val="24"/>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trPr>
        <w:tc>
          <w:tcPr>
            <w:tcW w:w="6204" w:type="dxa"/>
            <w:vAlign w:val="bottom"/>
          </w:tcPr>
          <w:p>
            <w:pPr>
              <w:spacing w:line="360" w:lineRule="auto"/>
              <w:jc w:val="center"/>
              <w:rPr>
                <w:rFonts w:ascii="宋体" w:hAnsi="宋体" w:eastAsia="宋体"/>
                <w:i/>
                <w:sz w:val="24"/>
              </w:rPr>
            </w:pPr>
            <w:r>
              <w:rPr>
                <w:rFonts w:ascii="宋体" w:hAnsi="宋体" w:eastAsia="宋体"/>
                <w:i/>
                <w:sz w:val="24"/>
              </w:rPr>
              <w:t>&gt;</w:t>
            </w:r>
            <w:r>
              <w:rPr>
                <w:rFonts w:hint="eastAsia" w:ascii="宋体" w:hAnsi="宋体" w:eastAsia="宋体"/>
                <w:i/>
                <w:sz w:val="24"/>
              </w:rPr>
              <w:t>8</w:t>
            </w:r>
            <w:r>
              <w:rPr>
                <w:rFonts w:ascii="宋体" w:hAnsi="宋体" w:eastAsia="宋体"/>
                <w:i/>
                <w:sz w:val="24"/>
              </w:rPr>
              <w:t>00</w:t>
            </w:r>
          </w:p>
        </w:tc>
        <w:tc>
          <w:tcPr>
            <w:tcW w:w="3152" w:type="dxa"/>
            <w:vAlign w:val="top"/>
          </w:tcPr>
          <w:p>
            <w:pPr>
              <w:spacing w:line="360" w:lineRule="auto"/>
              <w:jc w:val="center"/>
              <w:rPr>
                <w:rFonts w:ascii="宋体" w:hAnsi="宋体" w:eastAsia="宋体"/>
                <w:i/>
                <w:sz w:val="24"/>
              </w:rPr>
            </w:pPr>
            <w:r>
              <w:rPr>
                <w:rFonts w:hint="eastAsia" w:ascii="宋体" w:hAnsi="宋体" w:eastAsia="宋体"/>
                <w:i/>
                <w:sz w:val="24"/>
              </w:rPr>
              <w:t>8</w:t>
            </w:r>
            <w:r>
              <w:rPr>
                <w:rFonts w:ascii="宋体" w:hAnsi="宋体" w:eastAsia="宋体"/>
                <w:i/>
                <w:sz w:val="24"/>
              </w:rPr>
              <w:t>00</w:t>
            </w:r>
          </w:p>
        </w:tc>
      </w:tr>
    </w:tbl>
    <w:p>
      <w:pPr>
        <w:pStyle w:val="26"/>
        <w:tabs>
          <w:tab w:val="left" w:pos="360"/>
        </w:tabs>
        <w:spacing w:line="360" w:lineRule="auto"/>
        <w:jc w:val="center"/>
        <w:rPr>
          <w:rFonts w:ascii="宋体" w:hAnsi="宋体" w:eastAsia="宋体"/>
          <w:i/>
          <w:sz w:val="24"/>
          <w:szCs w:val="24"/>
        </w:rPr>
      </w:pPr>
    </w:p>
    <w:p>
      <w:pPr>
        <w:pStyle w:val="36"/>
        <w:numPr>
          <w:ilvl w:val="2"/>
          <w:numId w:val="0"/>
        </w:numPr>
        <w:spacing w:line="360" w:lineRule="auto"/>
        <w:rPr>
          <w:rFonts w:ascii="宋体" w:hAnsi="宋体" w:eastAsia="宋体"/>
          <w:i/>
          <w:sz w:val="24"/>
          <w:szCs w:val="24"/>
        </w:rPr>
      </w:pPr>
      <w:r>
        <w:rPr>
          <w:rFonts w:hint="eastAsia" w:ascii="宋体" w:hAnsi="宋体" w:eastAsia="宋体"/>
          <w:i/>
          <w:sz w:val="24"/>
          <w:szCs w:val="24"/>
        </w:rPr>
        <w:t>2)将测试对象充电到100%SOC后，再对测试对象用1C电流继续充电1</w:t>
      </w:r>
      <w:r>
        <w:rPr>
          <w:rFonts w:ascii="宋体" w:hAnsi="宋体" w:eastAsia="宋体"/>
          <w:i/>
          <w:sz w:val="24"/>
          <w:szCs w:val="24"/>
        </w:rPr>
        <w:t>2</w:t>
      </w:r>
      <w:r>
        <w:rPr>
          <w:rFonts w:hint="eastAsia" w:ascii="宋体" w:hAnsi="宋体" w:eastAsia="宋体"/>
          <w:i/>
          <w:sz w:val="24"/>
          <w:szCs w:val="24"/>
        </w:rPr>
        <w:t>分钟。</w:t>
      </w:r>
    </w:p>
    <w:p>
      <w:pPr>
        <w:pStyle w:val="36"/>
        <w:numPr>
          <w:ilvl w:val="2"/>
          <w:numId w:val="0"/>
        </w:numPr>
        <w:spacing w:line="360" w:lineRule="auto"/>
        <w:rPr>
          <w:rFonts w:ascii="宋体" w:hAnsi="宋体" w:eastAsia="宋体"/>
          <w:i/>
          <w:sz w:val="24"/>
          <w:szCs w:val="24"/>
        </w:rPr>
      </w:pPr>
      <w:r>
        <w:rPr>
          <w:rFonts w:hint="eastAsia" w:ascii="宋体" w:hAnsi="宋体" w:eastAsia="宋体"/>
          <w:i/>
          <w:sz w:val="24"/>
          <w:szCs w:val="24"/>
        </w:rPr>
        <w:t>3)启动加热装置对测试对象进行持续加热，直到出现如下条件之一后</w:t>
      </w:r>
      <w:r>
        <w:rPr>
          <w:rFonts w:ascii="宋体" w:hAnsi="宋体" w:eastAsia="宋体"/>
          <w:i/>
          <w:sz w:val="24"/>
          <w:szCs w:val="24"/>
        </w:rPr>
        <w:t xml:space="preserve">, </w:t>
      </w:r>
      <w:r>
        <w:rPr>
          <w:rFonts w:hint="eastAsia" w:ascii="宋体" w:hAnsi="宋体" w:eastAsia="宋体"/>
          <w:i/>
          <w:sz w:val="24"/>
          <w:szCs w:val="24"/>
        </w:rPr>
        <w:t>关闭加热器。</w:t>
      </w:r>
    </w:p>
    <w:p>
      <w:pPr>
        <w:pStyle w:val="27"/>
        <w:numPr>
          <w:ilvl w:val="0"/>
          <w:numId w:val="15"/>
        </w:numPr>
        <w:tabs>
          <w:tab w:val="center" w:pos="709"/>
          <w:tab w:val="clear" w:pos="4201"/>
        </w:tabs>
        <w:spacing w:line="360" w:lineRule="auto"/>
        <w:ind w:firstLineChars="0"/>
        <w:rPr>
          <w:rFonts w:ascii="宋体" w:hAnsi="宋体" w:eastAsia="宋体"/>
          <w:i/>
          <w:sz w:val="24"/>
          <w:szCs w:val="24"/>
        </w:rPr>
      </w:pPr>
      <w:r>
        <w:rPr>
          <w:rFonts w:hint="eastAsia" w:ascii="宋体" w:hAnsi="宋体" w:eastAsia="宋体"/>
          <w:i/>
          <w:sz w:val="24"/>
          <w:szCs w:val="24"/>
        </w:rPr>
        <w:t>与加热装置直接接触的电池测量点的温度均超过</w:t>
      </w:r>
      <w:r>
        <w:rPr>
          <w:rFonts w:ascii="宋体" w:hAnsi="宋体" w:eastAsia="宋体"/>
          <w:i/>
          <w:sz w:val="24"/>
          <w:szCs w:val="24"/>
        </w:rPr>
        <w:t>150</w:t>
      </w:r>
      <w:r>
        <w:rPr>
          <w:rFonts w:hint="eastAsia" w:ascii="宋体" w:hAnsi="宋体" w:eastAsia="宋体"/>
          <w:i/>
          <w:sz w:val="24"/>
          <w:szCs w:val="24"/>
        </w:rPr>
        <w:t>℃，且任何一测量点测得的温升速率（</w:t>
      </w:r>
      <w:r>
        <w:rPr>
          <w:rFonts w:ascii="宋体" w:hAnsi="宋体" w:eastAsia="宋体"/>
          <w:i/>
          <w:sz w:val="24"/>
          <w:szCs w:val="24"/>
        </w:rPr>
        <w:t>dT/dt</w:t>
      </w:r>
      <w:r>
        <w:rPr>
          <w:rFonts w:hint="eastAsia" w:ascii="宋体" w:hAnsi="宋体" w:eastAsia="宋体"/>
          <w:i/>
          <w:sz w:val="24"/>
          <w:szCs w:val="24"/>
        </w:rPr>
        <w:t>）超过</w:t>
      </w:r>
      <w:r>
        <w:rPr>
          <w:rFonts w:ascii="宋体" w:hAnsi="宋体" w:eastAsia="宋体"/>
          <w:i/>
          <w:sz w:val="24"/>
          <w:szCs w:val="24"/>
        </w:rPr>
        <w:t>10</w:t>
      </w:r>
      <w:r>
        <w:rPr>
          <w:rFonts w:hint="eastAsia" w:ascii="宋体" w:hAnsi="宋体" w:eastAsia="宋体"/>
          <w:i/>
          <w:sz w:val="24"/>
          <w:szCs w:val="24"/>
        </w:rPr>
        <w:t>℃</w:t>
      </w:r>
      <w:r>
        <w:rPr>
          <w:rFonts w:ascii="宋体" w:hAnsi="宋体" w:eastAsia="宋体"/>
          <w:i/>
          <w:sz w:val="24"/>
          <w:szCs w:val="24"/>
        </w:rPr>
        <w:t>/s</w:t>
      </w:r>
      <w:r>
        <w:rPr>
          <w:rFonts w:hint="eastAsia" w:ascii="宋体" w:hAnsi="宋体" w:eastAsia="宋体"/>
          <w:i/>
          <w:sz w:val="24"/>
          <w:szCs w:val="24"/>
        </w:rPr>
        <w:t>；</w:t>
      </w:r>
    </w:p>
    <w:p>
      <w:pPr>
        <w:pStyle w:val="27"/>
        <w:numPr>
          <w:ilvl w:val="0"/>
          <w:numId w:val="15"/>
        </w:numPr>
        <w:tabs>
          <w:tab w:val="center" w:pos="709"/>
          <w:tab w:val="clear" w:pos="4201"/>
        </w:tabs>
        <w:spacing w:line="360" w:lineRule="auto"/>
        <w:ind w:firstLineChars="0"/>
        <w:rPr>
          <w:rFonts w:ascii="宋体" w:hAnsi="宋体" w:eastAsia="宋体"/>
          <w:i/>
          <w:sz w:val="24"/>
          <w:szCs w:val="24"/>
        </w:rPr>
      </w:pPr>
      <w:r>
        <w:rPr>
          <w:rFonts w:hint="eastAsia" w:ascii="宋体" w:hAnsi="宋体" w:eastAsia="宋体"/>
          <w:i/>
          <w:sz w:val="24"/>
          <w:szCs w:val="24"/>
        </w:rPr>
        <w:t>各测量点的温度超过</w:t>
      </w:r>
      <w:r>
        <w:rPr>
          <w:rFonts w:ascii="宋体" w:hAnsi="宋体" w:eastAsia="宋体"/>
          <w:i/>
          <w:sz w:val="24"/>
          <w:szCs w:val="24"/>
        </w:rPr>
        <w:t>300</w:t>
      </w:r>
      <w:r>
        <w:rPr>
          <w:rFonts w:hint="eastAsia" w:ascii="宋体" w:hAnsi="宋体" w:eastAsia="宋体"/>
          <w:i/>
          <w:sz w:val="24"/>
          <w:szCs w:val="24"/>
        </w:rPr>
        <w:t>℃，并持续</w:t>
      </w:r>
      <w:r>
        <w:rPr>
          <w:rFonts w:ascii="宋体" w:hAnsi="宋体" w:eastAsia="宋体"/>
          <w:i/>
          <w:sz w:val="24"/>
          <w:szCs w:val="24"/>
        </w:rPr>
        <w:t>5</w:t>
      </w:r>
      <w:r>
        <w:rPr>
          <w:rFonts w:hint="eastAsia" w:ascii="宋体" w:hAnsi="宋体" w:eastAsia="宋体"/>
          <w:i/>
          <w:sz w:val="24"/>
          <w:szCs w:val="24"/>
        </w:rPr>
        <w:t>分钟。</w:t>
      </w:r>
    </w:p>
    <w:p>
      <w:pPr>
        <w:pStyle w:val="36"/>
        <w:numPr>
          <w:ilvl w:val="2"/>
          <w:numId w:val="0"/>
        </w:numPr>
        <w:spacing w:line="360" w:lineRule="auto"/>
        <w:rPr>
          <w:rFonts w:ascii="宋体" w:hAnsi="宋体" w:eastAsia="宋体"/>
          <w:i/>
          <w:sz w:val="24"/>
          <w:szCs w:val="24"/>
        </w:rPr>
      </w:pPr>
      <w:r>
        <w:rPr>
          <w:rFonts w:hint="eastAsia" w:ascii="宋体" w:hAnsi="宋体" w:eastAsia="宋体"/>
          <w:i/>
          <w:sz w:val="24"/>
          <w:szCs w:val="24"/>
        </w:rPr>
        <w:t>4)加热过程中及加热结束1h内，如果发生起火、爆炸现象，则试验终止。</w:t>
      </w:r>
    </w:p>
    <w:p>
      <w:pPr>
        <w:pStyle w:val="26"/>
        <w:tabs>
          <w:tab w:val="left" w:pos="360"/>
        </w:tabs>
        <w:spacing w:line="360" w:lineRule="auto"/>
        <w:rPr>
          <w:rFonts w:ascii="宋体" w:hAnsi="宋体" w:eastAsia="宋体"/>
          <w:i/>
          <w:sz w:val="24"/>
          <w:szCs w:val="24"/>
        </w:rPr>
      </w:pPr>
    </w:p>
    <w:tbl>
      <w:tblPr>
        <w:tblStyle w:val="18"/>
        <w:tblW w:w="8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6"/>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3" w:hRule="atLeast"/>
        </w:trPr>
        <w:tc>
          <w:tcPr>
            <w:tcW w:w="3936" w:type="dxa"/>
            <w:vAlign w:val="top"/>
          </w:tcPr>
          <w:p>
            <w:pPr>
              <w:pStyle w:val="20"/>
              <w:tabs>
                <w:tab w:val="left" w:pos="360"/>
              </w:tabs>
              <w:spacing w:before="120" w:after="120" w:line="360" w:lineRule="auto"/>
              <w:ind w:left="0"/>
              <w:rPr>
                <w:rFonts w:ascii="宋体" w:hAnsi="宋体" w:eastAsia="宋体"/>
                <w:i/>
                <w:kern w:val="2"/>
                <w:sz w:val="24"/>
                <w:szCs w:val="24"/>
              </w:rPr>
            </w:pPr>
            <w:r>
              <w:rPr>
                <w:rFonts w:ascii="宋体" w:hAnsi="宋体" w:eastAsia="宋体" w:cs="Times New Roman"/>
                <w:i/>
                <w:sz w:val="24"/>
                <w:szCs w:val="24"/>
                <w:lang w:val="en-US" w:eastAsia="zh-CN" w:bidi="ar-SA"/>
              </w:rPr>
              <w:pict>
                <v:shape id="图片 10" o:spid="_x0000_s1027" type="#_x0000_t75" style="height:157.5pt;width:184.5pt;rotation:0f;" o:ole="f" fillcolor="#FFFFFF" filled="f" o:preferrelative="t" stroked="f" coordorigin="0,0" coordsize="21600,21600">
                  <v:fill on="f" color2="#FFFFFF" focus="0%"/>
                  <v:imagedata croptop="2897f" cropbottom="-1f" gain="65536f" blacklevel="0f" gamma="0" o:title="" r:id="rId7"/>
                  <o:lock v:ext="edit" position="f" selection="f" grouping="f" rotation="f" cropping="f" text="f" aspectratio="t"/>
                  <w10:wrap type="none"/>
                  <w10:anchorlock/>
                </v:shape>
              </w:pict>
            </w:r>
          </w:p>
        </w:tc>
        <w:tc>
          <w:tcPr>
            <w:tcW w:w="4586" w:type="dxa"/>
            <w:vAlign w:val="top"/>
          </w:tcPr>
          <w:p>
            <w:pPr>
              <w:pStyle w:val="26"/>
              <w:tabs>
                <w:tab w:val="left" w:pos="360"/>
              </w:tabs>
              <w:spacing w:line="360" w:lineRule="auto"/>
              <w:ind w:left="4537"/>
              <w:rPr>
                <w:rFonts w:ascii="宋体" w:hAnsi="宋体" w:eastAsia="宋体"/>
                <w:i/>
                <w:sz w:val="24"/>
                <w:szCs w:val="24"/>
              </w:rPr>
            </w:pPr>
          </w:p>
          <w:p>
            <w:pPr>
              <w:pStyle w:val="26"/>
              <w:widowControl w:val="0"/>
              <w:tabs>
                <w:tab w:val="left" w:pos="360"/>
              </w:tabs>
              <w:spacing w:line="360" w:lineRule="auto"/>
              <w:rPr>
                <w:rFonts w:ascii="宋体" w:hAnsi="宋体" w:eastAsia="宋体"/>
                <w:i/>
                <w:kern w:val="2"/>
                <w:sz w:val="24"/>
                <w:szCs w:val="24"/>
              </w:rPr>
            </w:pPr>
            <w:r>
              <w:rPr>
                <w:rFonts w:ascii="宋体" w:hAnsi="宋体" w:eastAsia="宋体" w:cs="Times New Roman"/>
                <w:i/>
                <w:sz w:val="24"/>
                <w:szCs w:val="24"/>
                <w:lang w:val="en-US" w:eastAsia="zh-CN" w:bidi="ar-SA"/>
              </w:rPr>
              <w:pict>
                <v:shape id="图片 12" o:spid="_x0000_s1028" type="#_x0000_t75" style="height:153pt;width:215.25pt;rotation:0f;" o:ole="f" fillcolor="#FFFFFF" filled="f" o:preferrelative="t" stroked="f" coordorigin="0,0" coordsize="21600,21600">
                  <v:fill on="f" color2="#FFFFFF" focus="0%"/>
                  <v:imagedata gain="65536f" blacklevel="0f" gamma="0" o:title="" r:id="rId8"/>
                  <o:lock v:ext="edit" position="f" selection="f" grouping="f" rotation="f" cropping="f" text="f" aspectratio="t"/>
                  <w10:wrap type="none"/>
                  <w10:anchorlock/>
                </v:shape>
              </w:pi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36" w:type="dxa"/>
            <w:vAlign w:val="top"/>
          </w:tcPr>
          <w:p>
            <w:pPr>
              <w:pStyle w:val="26"/>
              <w:tabs>
                <w:tab w:val="left" w:pos="360"/>
              </w:tabs>
              <w:spacing w:line="360" w:lineRule="auto"/>
              <w:ind w:left="142"/>
              <w:jc w:val="center"/>
              <w:rPr>
                <w:rFonts w:ascii="宋体" w:hAnsi="宋体" w:eastAsia="宋体"/>
                <w:i/>
                <w:sz w:val="24"/>
                <w:szCs w:val="24"/>
              </w:rPr>
            </w:pPr>
            <w:r>
              <w:rPr>
                <w:rFonts w:hint="eastAsia" w:ascii="宋体" w:hAnsi="宋体" w:eastAsia="宋体"/>
                <w:i/>
                <w:sz w:val="24"/>
                <w:szCs w:val="24"/>
              </w:rPr>
              <w:t>硬壳及软包蓄电池单元</w:t>
            </w:r>
          </w:p>
        </w:tc>
        <w:tc>
          <w:tcPr>
            <w:tcW w:w="4586" w:type="dxa"/>
            <w:vAlign w:val="top"/>
          </w:tcPr>
          <w:p>
            <w:pPr>
              <w:pStyle w:val="26"/>
              <w:tabs>
                <w:tab w:val="left" w:pos="360"/>
              </w:tabs>
              <w:spacing w:line="360" w:lineRule="auto"/>
              <w:ind w:left="142"/>
              <w:jc w:val="center"/>
              <w:rPr>
                <w:rFonts w:ascii="宋体" w:hAnsi="宋体" w:eastAsia="宋体"/>
                <w:i/>
                <w:kern w:val="21"/>
                <w:sz w:val="24"/>
                <w:szCs w:val="24"/>
              </w:rPr>
            </w:pPr>
            <w:r>
              <w:rPr>
                <w:rFonts w:hint="eastAsia" w:ascii="宋体" w:hAnsi="宋体" w:eastAsia="宋体"/>
                <w:i/>
                <w:sz w:val="24"/>
                <w:szCs w:val="24"/>
              </w:rPr>
              <w:t>圆柱形蓄电池单元</w:t>
            </w:r>
          </w:p>
        </w:tc>
      </w:tr>
    </w:tbl>
    <w:p>
      <w:pPr>
        <w:pStyle w:val="26"/>
        <w:tabs>
          <w:tab w:val="left" w:pos="360"/>
        </w:tabs>
        <w:spacing w:line="360" w:lineRule="auto"/>
        <w:jc w:val="center"/>
        <w:rPr>
          <w:rFonts w:ascii="宋体" w:hAnsi="宋体" w:eastAsia="宋体"/>
          <w:i/>
          <w:sz w:val="24"/>
          <w:szCs w:val="24"/>
        </w:rPr>
      </w:pPr>
      <w:r>
        <w:rPr>
          <w:rFonts w:hint="eastAsia" w:ascii="宋体" w:hAnsi="宋体" w:eastAsia="宋体"/>
          <w:i/>
          <w:sz w:val="24"/>
          <w:szCs w:val="24"/>
        </w:rPr>
        <w:t>图1 加热示意图</w:t>
      </w:r>
    </w:p>
    <w:p>
      <w:pPr>
        <w:pStyle w:val="56"/>
        <w:numPr>
          <w:ilvl w:val="0"/>
          <w:numId w:val="0"/>
        </w:numPr>
        <w:spacing w:line="360" w:lineRule="auto"/>
        <w:ind w:firstLine="480" w:firstLineChars="200"/>
        <w:rPr>
          <w:rFonts w:hint="eastAsia"/>
          <w:sz w:val="24"/>
          <w:szCs w:val="24"/>
        </w:rPr>
      </w:pPr>
      <w:r>
        <w:rPr>
          <w:rFonts w:hint="eastAsia"/>
          <w:sz w:val="24"/>
          <w:szCs w:val="24"/>
        </w:rPr>
        <w:t>说明：</w:t>
      </w:r>
    </w:p>
    <w:p>
      <w:pPr>
        <w:pStyle w:val="56"/>
        <w:numPr>
          <w:ilvl w:val="0"/>
          <w:numId w:val="0"/>
        </w:numPr>
        <w:spacing w:line="360" w:lineRule="auto"/>
        <w:ind w:firstLine="480" w:firstLineChars="200"/>
        <w:rPr>
          <w:rFonts w:hint="eastAsia"/>
          <w:sz w:val="24"/>
          <w:szCs w:val="24"/>
        </w:rPr>
      </w:pPr>
      <w:r>
        <w:rPr>
          <w:rFonts w:hint="eastAsia"/>
          <w:sz w:val="24"/>
          <w:szCs w:val="24"/>
        </w:rPr>
        <w:t>a)本文件对蓄电池单元热失控试验的测试方法和要求进行了细化，保证各测试机构的测量结果具有可重复性；</w:t>
      </w:r>
    </w:p>
    <w:p>
      <w:pPr>
        <w:pStyle w:val="56"/>
        <w:numPr>
          <w:ilvl w:val="0"/>
          <w:numId w:val="0"/>
        </w:numPr>
        <w:spacing w:line="360" w:lineRule="auto"/>
        <w:ind w:firstLine="480" w:firstLineChars="200"/>
        <w:rPr>
          <w:rFonts w:hint="eastAsia"/>
          <w:sz w:val="24"/>
          <w:szCs w:val="24"/>
        </w:rPr>
      </w:pPr>
      <w:r>
        <w:rPr>
          <w:rFonts w:hint="eastAsia"/>
          <w:sz w:val="24"/>
          <w:szCs w:val="24"/>
        </w:rPr>
        <w:t>b)电池包热失控扩展实验更真实的模拟了电池包中某个电池因为内短路或其他原因导致热失控后对临近电芯及整个电池包的影响；</w:t>
      </w:r>
    </w:p>
    <w:p>
      <w:pPr>
        <w:pStyle w:val="56"/>
        <w:numPr>
          <w:ilvl w:val="0"/>
          <w:numId w:val="0"/>
        </w:numPr>
        <w:spacing w:line="360" w:lineRule="auto"/>
        <w:ind w:firstLine="480" w:firstLineChars="200"/>
        <w:rPr>
          <w:rFonts w:hint="eastAsia"/>
          <w:sz w:val="24"/>
          <w:szCs w:val="24"/>
        </w:rPr>
      </w:pPr>
      <w:r>
        <w:rPr>
          <w:rFonts w:hint="eastAsia"/>
          <w:sz w:val="24"/>
          <w:szCs w:val="24"/>
        </w:rPr>
        <w:t xml:space="preserve">c）考虑电池的全生命周期内的安全状态，电池在经过一定的循环工况后与新鲜状态不同，采取20%过充来模拟寿命衰减20-30%以上的安全状态。； </w:t>
      </w:r>
    </w:p>
    <w:p>
      <w:pPr>
        <w:pStyle w:val="56"/>
        <w:numPr>
          <w:ilvl w:val="0"/>
          <w:numId w:val="0"/>
        </w:numPr>
        <w:spacing w:line="360" w:lineRule="auto"/>
        <w:ind w:firstLine="480" w:firstLineChars="200"/>
        <w:rPr>
          <w:rFonts w:hint="eastAsia"/>
          <w:sz w:val="24"/>
          <w:szCs w:val="24"/>
        </w:rPr>
      </w:pPr>
      <w:r>
        <w:rPr>
          <w:rFonts w:hint="eastAsia"/>
          <w:sz w:val="24"/>
          <w:szCs w:val="24"/>
        </w:rPr>
        <w:t>d) 用覆盖有陶瓷、金属、或绝缘体的平面状或棒状加热器。此外，加热器与电池接触的加热面积应接近于电芯表面的面积；</w:t>
      </w:r>
    </w:p>
    <w:p>
      <w:pPr>
        <w:widowControl/>
        <w:numPr>
          <w:numId w:val="0"/>
        </w:numPr>
        <w:tabs>
          <w:tab w:val="left" w:pos="360"/>
        </w:tabs>
        <w:spacing w:line="360" w:lineRule="auto"/>
        <w:ind w:leftChars="0"/>
        <w:jc w:val="left"/>
        <w:outlineLvl w:val="3"/>
        <w:rPr>
          <w:sz w:val="24"/>
        </w:rPr>
      </w:pPr>
      <w:r>
        <w:rPr>
          <w:rFonts w:hint="eastAsia"/>
          <w:sz w:val="24"/>
          <w:lang w:val="en-US" w:eastAsia="zh-CN"/>
        </w:rPr>
        <w:t>5.3.13</w:t>
      </w:r>
      <w:r>
        <w:rPr>
          <w:rFonts w:hint="eastAsia"/>
          <w:sz w:val="24"/>
        </w:rPr>
        <w:t>关于附录C</w:t>
      </w:r>
    </w:p>
    <w:p>
      <w:pPr>
        <w:pStyle w:val="35"/>
        <w:numPr>
          <w:ilvl w:val="1"/>
          <w:numId w:val="0"/>
        </w:numPr>
        <w:wordWrap/>
        <w:spacing w:beforeLines="0" w:afterLines="0" w:line="360" w:lineRule="auto"/>
        <w:ind w:leftChars="0"/>
        <w:rPr>
          <w:sz w:val="24"/>
          <w:szCs w:val="24"/>
        </w:rPr>
      </w:pPr>
      <w:r>
        <w:rPr>
          <w:rFonts w:hint="eastAsia"/>
          <w:sz w:val="24"/>
          <w:szCs w:val="24"/>
          <w:lang w:val="en-US" w:eastAsia="zh-CN"/>
        </w:rPr>
        <w:t>1.</w:t>
      </w:r>
      <w:r>
        <w:rPr>
          <w:rFonts w:hint="eastAsia"/>
          <w:sz w:val="24"/>
          <w:szCs w:val="24"/>
        </w:rPr>
        <w:t>测试对象：</w:t>
      </w:r>
    </w:p>
    <w:p>
      <w:pPr>
        <w:pStyle w:val="26"/>
        <w:tabs>
          <w:tab w:val="left" w:pos="360"/>
        </w:tabs>
        <w:spacing w:before="0" w:after="0" w:line="360" w:lineRule="auto"/>
        <w:ind w:firstLine="480" w:firstLineChars="200"/>
        <w:rPr>
          <w:sz w:val="24"/>
          <w:szCs w:val="24"/>
        </w:rPr>
      </w:pPr>
      <w:r>
        <w:rPr>
          <w:rFonts w:hint="eastAsia"/>
          <w:sz w:val="24"/>
          <w:szCs w:val="24"/>
        </w:rPr>
        <w:t>整车备案参数中明确的电池系统中能量最大的蓄电池包</w:t>
      </w:r>
      <w:r>
        <w:rPr>
          <w:rFonts w:hint="eastAsia" w:hAnsi="宋体"/>
          <w:sz w:val="24"/>
          <w:szCs w:val="24"/>
        </w:rPr>
        <w:t>。</w:t>
      </w:r>
    </w:p>
    <w:p>
      <w:pPr>
        <w:pStyle w:val="35"/>
        <w:numPr>
          <w:ilvl w:val="1"/>
          <w:numId w:val="0"/>
        </w:numPr>
        <w:wordWrap/>
        <w:spacing w:beforeLines="0" w:afterLines="0" w:line="360" w:lineRule="auto"/>
        <w:ind w:leftChars="0"/>
        <w:rPr>
          <w:sz w:val="24"/>
          <w:szCs w:val="24"/>
        </w:rPr>
      </w:pPr>
      <w:r>
        <w:rPr>
          <w:rFonts w:hint="eastAsia" w:hAnsi="宋体"/>
          <w:sz w:val="24"/>
          <w:szCs w:val="24"/>
          <w:lang w:val="en-US" w:eastAsia="zh-CN"/>
        </w:rPr>
        <w:t>2.</w:t>
      </w:r>
      <w:r>
        <w:rPr>
          <w:rFonts w:hint="eastAsia" w:hAnsi="宋体"/>
          <w:sz w:val="24"/>
          <w:szCs w:val="24"/>
        </w:rPr>
        <w:t>试验</w:t>
      </w:r>
      <w:r>
        <w:rPr>
          <w:rFonts w:hint="eastAsia"/>
          <w:sz w:val="24"/>
          <w:szCs w:val="24"/>
        </w:rPr>
        <w:t>方法：</w:t>
      </w:r>
    </w:p>
    <w:p>
      <w:pPr>
        <w:pStyle w:val="36"/>
        <w:wordWrap/>
        <w:spacing w:line="360" w:lineRule="auto"/>
        <w:rPr>
          <w:rFonts w:ascii="宋体" w:hAnsi="宋体" w:eastAsia="宋体"/>
          <w:i/>
          <w:sz w:val="24"/>
          <w:szCs w:val="24"/>
        </w:rPr>
      </w:pPr>
      <w:r>
        <w:rPr>
          <w:rFonts w:hint="eastAsia" w:ascii="宋体" w:hAnsi="宋体" w:eastAsia="宋体"/>
          <w:i/>
          <w:sz w:val="24"/>
          <w:szCs w:val="24"/>
        </w:rPr>
        <w:t>选择热失控触发对象：热失控触发对象为电池包中布置最为密集部位模块内电池管理系统管理的最小蓄电池单元的最小电池单元。取出触发对象所在的模块，将加热装置与触发对象直接接触并固定，要求加热装置 (加热功率要求见表3)与蓄电池直接接触，安装温度监控器，且监测测试对象的正、负极柱，和可测面几何中心的温度，（温度数据采集频率要求至少每1秒间隔不小于1Hz记录一个数据，精度要求小于+/-0.5℃。）</w:t>
      </w:r>
      <w:r>
        <w:rPr>
          <w:rFonts w:ascii="宋体" w:hAnsi="宋体" w:eastAsia="宋体"/>
          <w:i/>
          <w:sz w:val="24"/>
          <w:szCs w:val="24"/>
        </w:rPr>
        <w:t>。</w:t>
      </w:r>
    </w:p>
    <w:p>
      <w:pPr>
        <w:pStyle w:val="36"/>
        <w:wordWrap/>
        <w:spacing w:line="360" w:lineRule="auto"/>
        <w:rPr>
          <w:rFonts w:ascii="宋体" w:hAnsi="宋体" w:eastAsia="宋体"/>
          <w:i/>
          <w:sz w:val="24"/>
          <w:szCs w:val="24"/>
        </w:rPr>
      </w:pPr>
      <w:r>
        <w:rPr>
          <w:rFonts w:hint="eastAsia" w:ascii="宋体" w:hAnsi="宋体" w:eastAsia="宋体"/>
          <w:i/>
          <w:sz w:val="24"/>
          <w:szCs w:val="24"/>
        </w:rPr>
        <w:t>将模块恢复至原有位置，将蓄电池包上盖与箱体按原有方式密封，并保持蓄电池包结构的完整性</w:t>
      </w:r>
      <w:r>
        <w:rPr>
          <w:rFonts w:ascii="宋体" w:hAnsi="宋体" w:eastAsia="宋体"/>
          <w:i/>
          <w:sz w:val="24"/>
          <w:szCs w:val="24"/>
        </w:rPr>
        <w:t>。</w:t>
      </w:r>
    </w:p>
    <w:p>
      <w:pPr>
        <w:pStyle w:val="36"/>
        <w:wordWrap/>
        <w:spacing w:line="360" w:lineRule="auto"/>
        <w:rPr>
          <w:rFonts w:ascii="宋体" w:hAnsi="宋体" w:eastAsia="宋体"/>
          <w:i/>
          <w:sz w:val="24"/>
          <w:szCs w:val="24"/>
        </w:rPr>
      </w:pPr>
      <w:r>
        <w:rPr>
          <w:rFonts w:hint="eastAsia" w:ascii="宋体" w:hAnsi="宋体" w:eastAsia="宋体"/>
          <w:i/>
          <w:sz w:val="24"/>
          <w:szCs w:val="24"/>
        </w:rPr>
        <w:t>启动加热装置对触发对象进行持续加热，直到出现如下条件之一后</w:t>
      </w:r>
      <w:r>
        <w:rPr>
          <w:rFonts w:ascii="宋体" w:hAnsi="宋体" w:eastAsia="宋体"/>
          <w:i/>
          <w:sz w:val="24"/>
          <w:szCs w:val="24"/>
        </w:rPr>
        <w:t xml:space="preserve">, </w:t>
      </w:r>
      <w:r>
        <w:rPr>
          <w:rFonts w:hint="eastAsia" w:ascii="宋体" w:hAnsi="宋体" w:eastAsia="宋体"/>
          <w:i/>
          <w:sz w:val="24"/>
          <w:szCs w:val="24"/>
        </w:rPr>
        <w:t>关闭加热装置</w:t>
      </w:r>
    </w:p>
    <w:p>
      <w:pPr>
        <w:pStyle w:val="27"/>
        <w:numPr>
          <w:ilvl w:val="0"/>
          <w:numId w:val="16"/>
        </w:numPr>
        <w:tabs>
          <w:tab w:val="center" w:pos="709"/>
          <w:tab w:val="clear" w:pos="4201"/>
        </w:tabs>
        <w:spacing w:line="360" w:lineRule="auto"/>
        <w:ind w:firstLineChars="0"/>
        <w:rPr>
          <w:rFonts w:ascii="宋体" w:hAnsi="宋体" w:eastAsia="宋体"/>
          <w:i/>
          <w:sz w:val="24"/>
          <w:szCs w:val="24"/>
        </w:rPr>
      </w:pPr>
      <w:r>
        <w:rPr>
          <w:rFonts w:hint="eastAsia" w:ascii="宋体" w:hAnsi="宋体" w:eastAsia="宋体"/>
          <w:i/>
          <w:sz w:val="24"/>
          <w:szCs w:val="24"/>
        </w:rPr>
        <w:t>与加热装置直接接触的电芯测得的温度均超过</w:t>
      </w:r>
      <w:r>
        <w:rPr>
          <w:rFonts w:ascii="宋体" w:hAnsi="宋体" w:eastAsia="宋体"/>
          <w:i/>
          <w:sz w:val="24"/>
          <w:szCs w:val="24"/>
        </w:rPr>
        <w:t>150℃，且任何一测量点测得的温升速率（dT/dt</w:t>
      </w:r>
      <w:r>
        <w:rPr>
          <w:rFonts w:hint="eastAsia" w:ascii="宋体" w:hAnsi="宋体" w:eastAsia="宋体"/>
          <w:i/>
          <w:sz w:val="24"/>
          <w:szCs w:val="24"/>
        </w:rPr>
        <w:t>）超过</w:t>
      </w:r>
      <w:r>
        <w:rPr>
          <w:rFonts w:ascii="宋体" w:hAnsi="宋体" w:eastAsia="宋体"/>
          <w:i/>
          <w:sz w:val="24"/>
          <w:szCs w:val="24"/>
        </w:rPr>
        <w:t>10℃/S</w:t>
      </w:r>
      <w:r>
        <w:rPr>
          <w:rFonts w:hint="eastAsia" w:ascii="宋体" w:hAnsi="宋体" w:eastAsia="宋体"/>
          <w:i/>
          <w:sz w:val="24"/>
          <w:szCs w:val="24"/>
        </w:rPr>
        <w:t>；</w:t>
      </w:r>
    </w:p>
    <w:p>
      <w:pPr>
        <w:pStyle w:val="27"/>
        <w:numPr>
          <w:ilvl w:val="0"/>
          <w:numId w:val="16"/>
        </w:numPr>
        <w:tabs>
          <w:tab w:val="center" w:pos="709"/>
          <w:tab w:val="clear" w:pos="4201"/>
        </w:tabs>
        <w:spacing w:line="360" w:lineRule="auto"/>
        <w:ind w:firstLineChars="0"/>
        <w:rPr>
          <w:rFonts w:ascii="宋体" w:hAnsi="宋体" w:eastAsia="宋体"/>
          <w:i/>
          <w:sz w:val="24"/>
          <w:szCs w:val="24"/>
        </w:rPr>
      </w:pPr>
      <w:r>
        <w:rPr>
          <w:rFonts w:hint="eastAsia" w:ascii="宋体" w:hAnsi="宋体" w:eastAsia="宋体"/>
          <w:i/>
          <w:sz w:val="24"/>
          <w:szCs w:val="24"/>
        </w:rPr>
        <w:t>各测量点的温度超过</w:t>
      </w:r>
      <w:r>
        <w:rPr>
          <w:rFonts w:ascii="宋体" w:hAnsi="宋体" w:eastAsia="宋体"/>
          <w:i/>
          <w:sz w:val="24"/>
          <w:szCs w:val="24"/>
        </w:rPr>
        <w:t>300℃，并持续5分钟</w:t>
      </w:r>
      <w:r>
        <w:rPr>
          <w:rFonts w:hint="eastAsia" w:ascii="宋体" w:hAnsi="宋体" w:eastAsia="宋体"/>
          <w:i/>
          <w:sz w:val="24"/>
          <w:szCs w:val="24"/>
        </w:rPr>
        <w:t>。</w:t>
      </w:r>
    </w:p>
    <w:p>
      <w:pPr>
        <w:pStyle w:val="36"/>
        <w:wordWrap/>
        <w:spacing w:line="360" w:lineRule="auto"/>
      </w:pPr>
      <w:r>
        <w:rPr>
          <w:rFonts w:hint="eastAsia" w:ascii="宋体" w:hAnsi="宋体" w:eastAsia="宋体"/>
          <w:i/>
          <w:sz w:val="24"/>
          <w:szCs w:val="24"/>
        </w:rPr>
        <w:t>加热过程中及加热结束2h内，如果发生起火、爆炸现象，则试验终止。</w:t>
      </w:r>
    </w:p>
    <w:p>
      <w:pPr>
        <w:pStyle w:val="26"/>
        <w:tabs>
          <w:tab w:val="left" w:pos="360"/>
        </w:tabs>
        <w:spacing w:before="0" w:after="0" w:line="360" w:lineRule="auto"/>
        <w:ind w:firstLine="480" w:firstLineChars="200"/>
        <w:rPr>
          <w:sz w:val="24"/>
          <w:szCs w:val="24"/>
        </w:rPr>
      </w:pPr>
      <w:r>
        <w:rPr>
          <w:rFonts w:hint="eastAsia"/>
          <w:sz w:val="24"/>
          <w:szCs w:val="24"/>
        </w:rPr>
        <w:t>说明：</w:t>
      </w:r>
    </w:p>
    <w:p>
      <w:pPr>
        <w:pStyle w:val="26"/>
        <w:widowControl/>
        <w:tabs>
          <w:tab w:val="left" w:pos="360"/>
        </w:tabs>
        <w:wordWrap/>
        <w:adjustRightInd/>
        <w:snapToGrid/>
        <w:spacing w:before="0" w:after="0" w:line="360" w:lineRule="auto"/>
        <w:ind w:left="0" w:leftChars="0" w:right="0" w:firstLine="480" w:firstLineChars="200"/>
        <w:jc w:val="left"/>
        <w:textAlignment w:val="auto"/>
        <w:outlineLvl w:val="3"/>
        <w:rPr>
          <w:sz w:val="24"/>
          <w:szCs w:val="24"/>
        </w:rPr>
      </w:pPr>
      <w:r>
        <w:rPr>
          <w:rFonts w:hint="eastAsia"/>
          <w:sz w:val="24"/>
          <w:szCs w:val="24"/>
        </w:rPr>
        <w:t>a)评估</w:t>
      </w:r>
      <w:r>
        <w:rPr>
          <w:sz w:val="24"/>
          <w:szCs w:val="24"/>
        </w:rPr>
        <w:t>电池包</w:t>
      </w:r>
      <w:r>
        <w:rPr>
          <w:rFonts w:hint="eastAsia"/>
          <w:sz w:val="24"/>
          <w:szCs w:val="24"/>
        </w:rPr>
        <w:t>内部</w:t>
      </w:r>
      <w:r>
        <w:rPr>
          <w:sz w:val="24"/>
          <w:szCs w:val="24"/>
        </w:rPr>
        <w:t>某个电池热失控后</w:t>
      </w:r>
      <w:r>
        <w:rPr>
          <w:rFonts w:hint="eastAsia"/>
          <w:sz w:val="24"/>
          <w:szCs w:val="24"/>
        </w:rPr>
        <w:t>，电池</w:t>
      </w:r>
      <w:r>
        <w:rPr>
          <w:sz w:val="24"/>
          <w:szCs w:val="24"/>
        </w:rPr>
        <w:t>包的危害</w:t>
      </w:r>
      <w:r>
        <w:rPr>
          <w:rFonts w:hint="eastAsia"/>
          <w:sz w:val="24"/>
          <w:szCs w:val="24"/>
        </w:rPr>
        <w:t>程度</w:t>
      </w:r>
      <w:r>
        <w:rPr>
          <w:sz w:val="24"/>
          <w:szCs w:val="24"/>
        </w:rPr>
        <w:t>。</w:t>
      </w:r>
    </w:p>
    <w:p>
      <w:pPr>
        <w:pStyle w:val="26"/>
        <w:widowControl/>
        <w:tabs>
          <w:tab w:val="left" w:pos="360"/>
        </w:tabs>
        <w:wordWrap/>
        <w:adjustRightInd/>
        <w:snapToGrid/>
        <w:spacing w:before="0" w:after="0" w:line="360" w:lineRule="auto"/>
        <w:ind w:left="0" w:leftChars="0" w:right="0" w:firstLine="480" w:firstLineChars="200"/>
        <w:jc w:val="left"/>
        <w:textAlignment w:val="auto"/>
        <w:outlineLvl w:val="3"/>
        <w:rPr>
          <w:sz w:val="24"/>
          <w:szCs w:val="24"/>
        </w:rPr>
      </w:pPr>
      <w:r>
        <w:rPr>
          <w:rFonts w:hint="eastAsia"/>
          <w:sz w:val="24"/>
          <w:szCs w:val="24"/>
        </w:rPr>
        <w:t>b)触发对象应选择在最易热失控扩展且热失控扩展后危害最大的位置，以评估最恶劣的失效情况；</w:t>
      </w:r>
    </w:p>
    <w:p>
      <w:pPr>
        <w:pStyle w:val="26"/>
        <w:widowControl/>
        <w:tabs>
          <w:tab w:val="left" w:pos="360"/>
        </w:tabs>
        <w:wordWrap/>
        <w:adjustRightInd/>
        <w:snapToGrid/>
        <w:spacing w:before="0" w:after="0" w:line="360" w:lineRule="auto"/>
        <w:ind w:left="0" w:leftChars="0" w:right="0" w:firstLine="480" w:firstLineChars="200"/>
        <w:jc w:val="left"/>
        <w:textAlignment w:val="auto"/>
        <w:outlineLvl w:val="3"/>
        <w:rPr>
          <w:sz w:val="24"/>
          <w:szCs w:val="24"/>
        </w:rPr>
      </w:pPr>
      <w:r>
        <w:rPr>
          <w:rFonts w:hint="eastAsia"/>
          <w:sz w:val="24"/>
          <w:szCs w:val="24"/>
        </w:rPr>
        <w:t>c)实验前应尽量保证电池包与拆箱前一致，以保证和真实情况相同。</w:t>
      </w:r>
    </w:p>
    <w:p>
      <w:pPr>
        <w:widowControl/>
        <w:numPr>
          <w:numId w:val="0"/>
        </w:numPr>
        <w:tabs>
          <w:tab w:val="left" w:pos="360"/>
        </w:tabs>
        <w:spacing w:line="360" w:lineRule="auto"/>
        <w:ind w:leftChars="0"/>
        <w:jc w:val="left"/>
        <w:outlineLvl w:val="3"/>
        <w:rPr>
          <w:sz w:val="24"/>
        </w:rPr>
      </w:pPr>
      <w:r>
        <w:rPr>
          <w:rFonts w:hint="eastAsia"/>
          <w:sz w:val="24"/>
          <w:lang w:val="en-US" w:eastAsia="zh-CN"/>
        </w:rPr>
        <w:t>5.3.14</w:t>
      </w:r>
      <w:r>
        <w:rPr>
          <w:rFonts w:hint="eastAsia"/>
          <w:sz w:val="24"/>
        </w:rPr>
        <w:t>关于附录D</w:t>
      </w:r>
    </w:p>
    <w:p>
      <w:pPr>
        <w:pStyle w:val="50"/>
        <w:widowControl/>
        <w:tabs>
          <w:tab w:val="left" w:pos="360"/>
        </w:tabs>
        <w:wordWrap/>
        <w:adjustRightInd/>
        <w:snapToGrid/>
        <w:spacing w:before="0" w:after="0" w:line="360" w:lineRule="auto"/>
        <w:ind w:left="0" w:leftChars="0" w:right="0" w:firstLine="422" w:firstLineChars="176"/>
        <w:jc w:val="left"/>
        <w:textAlignment w:val="auto"/>
        <w:outlineLvl w:val="4"/>
      </w:pPr>
      <w:r>
        <w:rPr>
          <w:rFonts w:hint="eastAsia"/>
        </w:rPr>
        <w:t>车载终端应具备以下功能：</w:t>
      </w:r>
    </w:p>
    <w:p>
      <w:pPr>
        <w:pStyle w:val="47"/>
        <w:spacing w:line="360" w:lineRule="auto"/>
        <w:ind w:left="851"/>
        <w:rPr>
          <w:i/>
          <w:sz w:val="24"/>
          <w:szCs w:val="24"/>
        </w:rPr>
      </w:pPr>
      <w:r>
        <w:rPr>
          <w:rFonts w:hint="eastAsia"/>
          <w:i/>
          <w:sz w:val="24"/>
          <w:szCs w:val="24"/>
        </w:rPr>
        <w:t>实时上传车辆故障和安全预警信息。根据可能对车辆造成的安全隐患严重程度，对故障和报警进行分级管理，不同的级别应设置相应的处置措施。</w:t>
      </w:r>
    </w:p>
    <w:p>
      <w:pPr>
        <w:pStyle w:val="47"/>
        <w:spacing w:line="360" w:lineRule="auto"/>
        <w:ind w:left="851"/>
        <w:rPr>
          <w:i/>
          <w:sz w:val="24"/>
          <w:szCs w:val="24"/>
        </w:rPr>
      </w:pPr>
      <w:r>
        <w:rPr>
          <w:rFonts w:hint="eastAsia"/>
          <w:i/>
          <w:sz w:val="24"/>
          <w:szCs w:val="24"/>
        </w:rPr>
        <w:t>实时上传车辆状态信息、驱动电机数据、蓄电池包数据、行车数据、充电过程数据及异常报警数据的功能，监控数据项目应包含但不限于表D.1的内容。</w:t>
      </w:r>
    </w:p>
    <w:p>
      <w:pPr>
        <w:pStyle w:val="47"/>
        <w:spacing w:line="360" w:lineRule="auto"/>
        <w:ind w:left="851"/>
        <w:rPr>
          <w:i/>
          <w:sz w:val="24"/>
          <w:szCs w:val="24"/>
        </w:rPr>
      </w:pPr>
      <w:r>
        <w:rPr>
          <w:rFonts w:hint="eastAsia"/>
          <w:i/>
          <w:sz w:val="24"/>
          <w:szCs w:val="24"/>
        </w:rPr>
        <w:t>远程提醒功能，将故障及报警信息通知维修服务人员。</w:t>
      </w:r>
    </w:p>
    <w:p>
      <w:pPr>
        <w:spacing w:line="360" w:lineRule="auto"/>
        <w:ind w:firstLine="480" w:firstLineChars="200"/>
        <w:rPr>
          <w:rFonts w:ascii="宋体" w:hAnsi="宋体" w:cs="宋体"/>
          <w:kern w:val="0"/>
          <w:sz w:val="24"/>
        </w:rPr>
      </w:pPr>
      <w:r>
        <w:rPr>
          <w:rFonts w:hint="eastAsia" w:ascii="宋体" w:hAnsi="宋体" w:cs="宋体"/>
          <w:kern w:val="0"/>
          <w:sz w:val="24"/>
        </w:rPr>
        <w:t>说明：</w:t>
      </w:r>
    </w:p>
    <w:p>
      <w:pPr>
        <w:widowControl w:val="0"/>
        <w:numPr>
          <w:ilvl w:val="0"/>
          <w:numId w:val="17"/>
        </w:numPr>
        <w:wordWrap/>
        <w:adjustRightInd/>
        <w:snapToGrid/>
        <w:spacing w:line="360" w:lineRule="auto"/>
        <w:ind w:left="480" w:leftChars="200" w:right="0" w:hanging="60" w:hangingChars="25"/>
        <w:jc w:val="both"/>
        <w:textAlignment w:val="auto"/>
        <w:outlineLvl w:val="9"/>
        <w:rPr>
          <w:rFonts w:ascii="宋体" w:hAnsi="宋体" w:cs="宋体"/>
          <w:kern w:val="0"/>
          <w:sz w:val="24"/>
        </w:rPr>
      </w:pPr>
      <w:r>
        <w:rPr>
          <w:rFonts w:hint="eastAsia" w:ascii="宋体" w:hAnsi="宋体" w:cs="宋体"/>
          <w:kern w:val="0"/>
          <w:sz w:val="24"/>
        </w:rPr>
        <w:t>远程安全监控系统对整车故障报警的要求。</w:t>
      </w:r>
    </w:p>
    <w:p>
      <w:pPr>
        <w:widowControl w:val="0"/>
        <w:numPr>
          <w:ilvl w:val="0"/>
          <w:numId w:val="17"/>
        </w:numPr>
        <w:wordWrap/>
        <w:adjustRightInd/>
        <w:snapToGrid/>
        <w:spacing w:line="360" w:lineRule="auto"/>
        <w:ind w:left="480" w:leftChars="200" w:right="0" w:hanging="60" w:hangingChars="25"/>
        <w:jc w:val="both"/>
        <w:textAlignment w:val="auto"/>
        <w:outlineLvl w:val="9"/>
        <w:rPr>
          <w:rFonts w:ascii="黑体" w:eastAsia="黑体"/>
          <w:kern w:val="0"/>
          <w:sz w:val="24"/>
        </w:rPr>
      </w:pPr>
      <w:r>
        <w:rPr>
          <w:rFonts w:hint="eastAsia" w:ascii="宋体" w:hAnsi="宋体" w:cs="宋体"/>
          <w:kern w:val="0"/>
          <w:sz w:val="24"/>
        </w:rPr>
        <w:t>远程安全监控系统对车辆及部件的关键数据监控与报警信息提出了要求。</w:t>
      </w:r>
    </w:p>
    <w:p>
      <w:pPr>
        <w:widowControl w:val="0"/>
        <w:numPr>
          <w:ilvl w:val="0"/>
          <w:numId w:val="17"/>
        </w:numPr>
        <w:wordWrap/>
        <w:adjustRightInd/>
        <w:snapToGrid/>
        <w:spacing w:line="360" w:lineRule="auto"/>
        <w:ind w:left="480" w:leftChars="200" w:right="0" w:hanging="60" w:hangingChars="25"/>
        <w:jc w:val="both"/>
        <w:textAlignment w:val="auto"/>
        <w:outlineLvl w:val="9"/>
        <w:rPr>
          <w:rFonts w:ascii="黑体" w:eastAsia="黑体"/>
          <w:kern w:val="0"/>
          <w:sz w:val="24"/>
        </w:rPr>
      </w:pPr>
      <w:r>
        <w:rPr>
          <w:rFonts w:hint="eastAsia" w:ascii="宋体" w:hAnsi="宋体" w:cs="宋体"/>
          <w:kern w:val="0"/>
          <w:sz w:val="24"/>
        </w:rPr>
        <w:t>远程安全监控系统对故障提醒方式、处理及时性的要求。</w:t>
      </w:r>
    </w:p>
    <w:p>
      <w:pPr>
        <w:widowControl w:val="0"/>
        <w:numPr>
          <w:ilvl w:val="0"/>
          <w:numId w:val="17"/>
        </w:numPr>
        <w:wordWrap/>
        <w:adjustRightInd/>
        <w:snapToGrid/>
        <w:spacing w:line="360" w:lineRule="auto"/>
        <w:ind w:left="480" w:leftChars="200" w:right="0" w:hanging="60" w:hangingChars="25"/>
        <w:jc w:val="both"/>
        <w:textAlignment w:val="auto"/>
        <w:outlineLvl w:val="9"/>
        <w:rPr>
          <w:rFonts w:ascii="黑体" w:eastAsia="黑体"/>
          <w:kern w:val="0"/>
          <w:sz w:val="24"/>
        </w:rPr>
      </w:pPr>
      <w:r>
        <w:rPr>
          <w:rFonts w:hint="eastAsia" w:ascii="宋体" w:hAnsi="宋体" w:cs="宋体"/>
          <w:kern w:val="0"/>
          <w:sz w:val="24"/>
        </w:rPr>
        <w:t>远程安全监控系统对故障处理辅助分析、结果统计的要求。</w:t>
      </w:r>
    </w:p>
    <w:p>
      <w:pPr>
        <w:widowControl w:val="0"/>
        <w:numPr>
          <w:ilvl w:val="0"/>
          <w:numId w:val="17"/>
        </w:numPr>
        <w:wordWrap/>
        <w:adjustRightInd/>
        <w:snapToGrid/>
        <w:spacing w:line="360" w:lineRule="auto"/>
        <w:ind w:left="480" w:leftChars="200" w:right="0" w:hanging="60" w:hangingChars="25"/>
        <w:jc w:val="both"/>
        <w:textAlignment w:val="auto"/>
        <w:outlineLvl w:val="9"/>
        <w:rPr>
          <w:rFonts w:ascii="黑体" w:eastAsia="黑体"/>
          <w:kern w:val="0"/>
          <w:sz w:val="24"/>
        </w:rPr>
      </w:pPr>
      <w:r>
        <w:rPr>
          <w:rFonts w:hint="eastAsia" w:ascii="宋体" w:hAnsi="宋体" w:cs="宋体"/>
          <w:kern w:val="0"/>
          <w:sz w:val="24"/>
        </w:rPr>
        <w:t>表D.1是监控数据项目。</w:t>
      </w:r>
    </w:p>
    <w:p>
      <w:pPr>
        <w:widowControl/>
        <w:numPr>
          <w:numId w:val="0"/>
        </w:numPr>
        <w:tabs>
          <w:tab w:val="left" w:pos="360"/>
        </w:tabs>
        <w:spacing w:line="360" w:lineRule="auto"/>
        <w:ind w:leftChars="0"/>
        <w:jc w:val="left"/>
        <w:outlineLvl w:val="3"/>
        <w:rPr>
          <w:sz w:val="24"/>
        </w:rPr>
      </w:pPr>
      <w:bookmarkStart w:id="37" w:name="_Toc451860890"/>
      <w:r>
        <w:rPr>
          <w:rFonts w:hint="eastAsia"/>
          <w:sz w:val="24"/>
          <w:lang w:val="en-US" w:eastAsia="zh-CN"/>
        </w:rPr>
        <w:t>5.3.15</w:t>
      </w:r>
      <w:r>
        <w:rPr>
          <w:rFonts w:hint="eastAsia"/>
          <w:sz w:val="24"/>
        </w:rPr>
        <w:t>撞试验方法</w:t>
      </w:r>
      <w:bookmarkEnd w:id="37"/>
      <w:bookmarkStart w:id="38" w:name="_Toc450584448"/>
    </w:p>
    <w:bookmarkEnd w:id="38"/>
    <w:p>
      <w:pPr>
        <w:pStyle w:val="35"/>
        <w:numPr>
          <w:ilvl w:val="1"/>
          <w:numId w:val="0"/>
        </w:numPr>
        <w:wordWrap/>
        <w:spacing w:beforeLines="0" w:afterLines="0" w:line="360" w:lineRule="auto"/>
        <w:ind w:leftChars="0"/>
        <w:rPr>
          <w:i/>
          <w:kern w:val="0"/>
          <w:sz w:val="24"/>
          <w:szCs w:val="24"/>
        </w:rPr>
      </w:pPr>
      <w:r>
        <w:rPr>
          <w:rFonts w:hint="eastAsia"/>
          <w:i/>
          <w:kern w:val="0"/>
          <w:sz w:val="24"/>
          <w:szCs w:val="24"/>
          <w:lang w:val="en-US" w:eastAsia="zh-CN"/>
        </w:rPr>
        <w:t xml:space="preserve">    </w:t>
      </w:r>
      <w:r>
        <w:rPr>
          <w:rFonts w:hint="eastAsia"/>
          <w:i/>
          <w:kern w:val="0"/>
          <w:sz w:val="24"/>
          <w:szCs w:val="24"/>
        </w:rPr>
        <w:t>试验场地</w:t>
      </w:r>
    </w:p>
    <w:p>
      <w:pPr>
        <w:spacing w:line="360" w:lineRule="auto"/>
        <w:ind w:firstLine="420"/>
        <w:outlineLvl w:val="1"/>
        <w:rPr>
          <w:rFonts w:ascii="宋体" w:hAnsi="宋体"/>
          <w:i/>
          <w:sz w:val="24"/>
        </w:rPr>
      </w:pPr>
      <w:r>
        <w:rPr>
          <w:rFonts w:hint="eastAsia" w:ascii="宋体" w:hAnsi="宋体"/>
          <w:i/>
          <w:sz w:val="24"/>
        </w:rPr>
        <w:t>试验场地应足够大，以容纳移动壁障驱动系统、被撞车碰撞后移动和试验设备的安装。车辆发生碰撞和移动的场地应水平、平整，路面摩擦系数不小于0.5。</w:t>
      </w:r>
    </w:p>
    <w:p>
      <w:pPr>
        <w:pStyle w:val="35"/>
        <w:numPr>
          <w:ilvl w:val="1"/>
          <w:numId w:val="0"/>
        </w:numPr>
        <w:wordWrap/>
        <w:spacing w:beforeLines="0" w:afterLines="0" w:line="360" w:lineRule="auto"/>
        <w:ind w:leftChars="0"/>
        <w:rPr>
          <w:i/>
          <w:kern w:val="0"/>
          <w:sz w:val="24"/>
          <w:szCs w:val="24"/>
        </w:rPr>
      </w:pPr>
      <w:r>
        <w:rPr>
          <w:rFonts w:hint="eastAsia"/>
          <w:i/>
          <w:kern w:val="0"/>
          <w:sz w:val="24"/>
          <w:szCs w:val="24"/>
          <w:lang w:val="en-US" w:eastAsia="zh-CN"/>
        </w:rPr>
        <w:t xml:space="preserve">    </w:t>
      </w:r>
      <w:r>
        <w:rPr>
          <w:rFonts w:hint="eastAsia"/>
          <w:i/>
          <w:kern w:val="0"/>
          <w:sz w:val="24"/>
          <w:szCs w:val="24"/>
        </w:rPr>
        <w:t>试验前的车辆准备</w:t>
      </w:r>
    </w:p>
    <w:p>
      <w:pPr>
        <w:pStyle w:val="36"/>
        <w:wordWrap/>
        <w:spacing w:line="360" w:lineRule="auto"/>
        <w:ind w:left="142"/>
        <w:rPr>
          <w:rFonts w:ascii="宋体" w:hAnsi="宋体" w:eastAsia="宋体"/>
          <w:i/>
          <w:kern w:val="2"/>
          <w:sz w:val="24"/>
          <w:szCs w:val="24"/>
        </w:rPr>
      </w:pPr>
      <w:r>
        <w:rPr>
          <w:rFonts w:hint="eastAsia" w:ascii="宋体" w:hAnsi="宋体" w:eastAsia="宋体"/>
          <w:i/>
          <w:kern w:val="2"/>
          <w:sz w:val="24"/>
          <w:szCs w:val="24"/>
        </w:rPr>
        <w:t>纯电动客车和可外接充电式混合动力客车按GB/T 18385-2005的5.1进行完全充电。</w:t>
      </w:r>
    </w:p>
    <w:p>
      <w:pPr>
        <w:pStyle w:val="36"/>
        <w:wordWrap/>
        <w:spacing w:line="360" w:lineRule="auto"/>
        <w:ind w:left="142"/>
        <w:rPr>
          <w:rFonts w:ascii="宋体" w:hAnsi="宋体" w:eastAsia="宋体"/>
          <w:i/>
          <w:kern w:val="2"/>
          <w:sz w:val="24"/>
          <w:szCs w:val="24"/>
        </w:rPr>
      </w:pPr>
      <w:r>
        <w:rPr>
          <w:rFonts w:hint="eastAsia" w:ascii="宋体" w:hAnsi="宋体" w:eastAsia="宋体"/>
          <w:i/>
          <w:kern w:val="2"/>
          <w:sz w:val="24"/>
          <w:szCs w:val="24"/>
        </w:rPr>
        <w:t>不可外接充电混合动力电动客车按车辆正常运行状态准备试验。</w:t>
      </w:r>
    </w:p>
    <w:p>
      <w:pPr>
        <w:pStyle w:val="36"/>
        <w:wordWrap/>
        <w:spacing w:line="360" w:lineRule="auto"/>
        <w:ind w:left="142"/>
        <w:rPr>
          <w:rFonts w:ascii="宋体" w:hAnsi="宋体" w:eastAsia="宋体"/>
          <w:i/>
          <w:kern w:val="2"/>
          <w:sz w:val="24"/>
          <w:szCs w:val="24"/>
        </w:rPr>
      </w:pPr>
      <w:r>
        <w:rPr>
          <w:rFonts w:hint="eastAsia" w:ascii="宋体" w:hAnsi="宋体" w:eastAsia="宋体"/>
          <w:i/>
          <w:kern w:val="2"/>
          <w:sz w:val="24"/>
          <w:szCs w:val="24"/>
        </w:rPr>
        <w:t>纯电动客车和可外接充电式混合动力客车碰撞试验应在车辆充电结束24h内进行。</w:t>
      </w:r>
    </w:p>
    <w:p>
      <w:pPr>
        <w:pStyle w:val="36"/>
        <w:wordWrap/>
        <w:spacing w:line="360" w:lineRule="auto"/>
        <w:ind w:left="142"/>
        <w:rPr>
          <w:rFonts w:ascii="宋体" w:hAnsi="宋体" w:eastAsia="宋体"/>
          <w:i/>
          <w:kern w:val="2"/>
          <w:sz w:val="24"/>
          <w:szCs w:val="24"/>
        </w:rPr>
      </w:pPr>
      <w:r>
        <w:rPr>
          <w:rFonts w:hint="eastAsia" w:ascii="宋体" w:hAnsi="宋体" w:eastAsia="宋体"/>
          <w:i/>
          <w:kern w:val="2"/>
          <w:sz w:val="24"/>
          <w:szCs w:val="24"/>
        </w:rPr>
        <w:t>试验车辆应为整备质量状态。</w:t>
      </w:r>
    </w:p>
    <w:p>
      <w:pPr>
        <w:pStyle w:val="36"/>
        <w:wordWrap/>
        <w:spacing w:line="360" w:lineRule="auto"/>
        <w:ind w:left="142"/>
        <w:rPr>
          <w:rFonts w:ascii="宋体" w:hAnsi="宋体" w:eastAsia="宋体"/>
          <w:i/>
          <w:kern w:val="2"/>
          <w:sz w:val="24"/>
          <w:szCs w:val="24"/>
        </w:rPr>
      </w:pPr>
      <w:r>
        <w:rPr>
          <w:rFonts w:hint="eastAsia" w:ascii="宋体" w:hAnsi="宋体" w:eastAsia="宋体"/>
          <w:i/>
          <w:kern w:val="2"/>
          <w:sz w:val="24"/>
          <w:szCs w:val="24"/>
        </w:rPr>
        <w:t>车窗应为关闭状态，车门处于关闭但不锁止状态。</w:t>
      </w:r>
    </w:p>
    <w:p>
      <w:pPr>
        <w:pStyle w:val="36"/>
        <w:wordWrap/>
        <w:spacing w:line="360" w:lineRule="auto"/>
        <w:ind w:left="142"/>
        <w:rPr>
          <w:rFonts w:ascii="宋体" w:hAnsi="宋体" w:eastAsia="宋体"/>
          <w:i/>
          <w:kern w:val="2"/>
          <w:sz w:val="24"/>
          <w:szCs w:val="24"/>
        </w:rPr>
      </w:pPr>
      <w:r>
        <w:rPr>
          <w:rFonts w:hint="eastAsia" w:ascii="宋体" w:hAnsi="宋体" w:eastAsia="宋体"/>
          <w:i/>
          <w:kern w:val="2"/>
          <w:sz w:val="24"/>
          <w:szCs w:val="24"/>
        </w:rPr>
        <w:t>档位应处于空挡状态，驻车制动器松开。</w:t>
      </w:r>
    </w:p>
    <w:p>
      <w:pPr>
        <w:pStyle w:val="36"/>
        <w:wordWrap/>
        <w:spacing w:line="360" w:lineRule="auto"/>
        <w:ind w:left="142"/>
        <w:rPr>
          <w:rFonts w:ascii="宋体" w:hAnsi="宋体" w:eastAsia="宋体"/>
          <w:i/>
          <w:kern w:val="2"/>
          <w:sz w:val="24"/>
          <w:szCs w:val="24"/>
        </w:rPr>
      </w:pPr>
      <w:r>
        <w:rPr>
          <w:rFonts w:hint="eastAsia" w:ascii="宋体" w:hAnsi="宋体" w:eastAsia="宋体"/>
          <w:i/>
          <w:kern w:val="2"/>
          <w:sz w:val="24"/>
          <w:szCs w:val="24"/>
        </w:rPr>
        <w:t>轮胎气压应调整到制造商规定的气压值。</w:t>
      </w:r>
    </w:p>
    <w:p>
      <w:pPr>
        <w:pStyle w:val="36"/>
        <w:wordWrap/>
        <w:spacing w:line="360" w:lineRule="auto"/>
        <w:ind w:left="142"/>
        <w:rPr>
          <w:rFonts w:ascii="宋体" w:hAnsi="宋体" w:eastAsia="宋体"/>
          <w:i/>
          <w:kern w:val="2"/>
          <w:sz w:val="24"/>
          <w:szCs w:val="24"/>
        </w:rPr>
      </w:pPr>
      <w:r>
        <w:rPr>
          <w:rFonts w:hint="eastAsia" w:ascii="宋体" w:hAnsi="宋体" w:eastAsia="宋体"/>
          <w:i/>
          <w:kern w:val="2"/>
          <w:sz w:val="24"/>
          <w:szCs w:val="24"/>
        </w:rPr>
        <w:t>试验车辆放置应保证车轴处于水平。</w:t>
      </w:r>
    </w:p>
    <w:p>
      <w:pPr>
        <w:pStyle w:val="36"/>
        <w:wordWrap/>
        <w:spacing w:line="360" w:lineRule="auto"/>
        <w:ind w:left="142"/>
        <w:rPr>
          <w:i/>
          <w:sz w:val="24"/>
          <w:szCs w:val="24"/>
        </w:rPr>
      </w:pPr>
      <w:r>
        <w:rPr>
          <w:rFonts w:hint="eastAsia" w:ascii="宋体" w:hAnsi="宋体" w:eastAsia="宋体"/>
          <w:i/>
          <w:kern w:val="2"/>
          <w:sz w:val="24"/>
          <w:szCs w:val="24"/>
        </w:rPr>
        <w:t>车辆应处于带电状态。</w:t>
      </w:r>
    </w:p>
    <w:p>
      <w:pPr>
        <w:pStyle w:val="35"/>
        <w:numPr>
          <w:ilvl w:val="1"/>
          <w:numId w:val="0"/>
        </w:numPr>
        <w:wordWrap/>
        <w:spacing w:beforeLines="0" w:afterLines="0" w:line="360" w:lineRule="auto"/>
        <w:ind w:leftChars="0"/>
        <w:rPr>
          <w:i/>
          <w:kern w:val="0"/>
          <w:sz w:val="24"/>
          <w:szCs w:val="24"/>
        </w:rPr>
      </w:pPr>
      <w:r>
        <w:rPr>
          <w:rFonts w:hint="eastAsia"/>
          <w:i/>
          <w:kern w:val="0"/>
          <w:sz w:val="24"/>
          <w:szCs w:val="24"/>
          <w:lang w:val="en-US" w:eastAsia="zh-CN"/>
        </w:rPr>
        <w:t xml:space="preserve">  </w:t>
      </w:r>
      <w:r>
        <w:rPr>
          <w:rFonts w:hint="eastAsia"/>
          <w:i/>
          <w:kern w:val="0"/>
          <w:sz w:val="24"/>
          <w:szCs w:val="24"/>
        </w:rPr>
        <w:t>移动壁障</w:t>
      </w:r>
    </w:p>
    <w:p>
      <w:pPr>
        <w:pStyle w:val="36"/>
        <w:wordWrap/>
        <w:spacing w:line="360" w:lineRule="auto"/>
        <w:ind w:left="142"/>
        <w:rPr>
          <w:rFonts w:ascii="宋体" w:hAnsi="宋体" w:eastAsia="宋体"/>
          <w:i/>
          <w:kern w:val="2"/>
          <w:sz w:val="24"/>
          <w:szCs w:val="24"/>
        </w:rPr>
      </w:pPr>
      <w:r>
        <w:rPr>
          <w:rFonts w:hint="eastAsia" w:ascii="宋体" w:hAnsi="宋体" w:eastAsia="宋体"/>
          <w:i/>
          <w:kern w:val="2"/>
          <w:sz w:val="24"/>
          <w:szCs w:val="24"/>
        </w:rPr>
        <w:t>移动壁障由碰撞装置、约束元件和移动车架组成；碰撞装置为一刚性的钢制结构，碰撞装置用约束元件固定于移动车上，约束元件应为刚性的，且不应因碰撞而产生变形。</w:t>
      </w:r>
    </w:p>
    <w:p>
      <w:pPr>
        <w:pStyle w:val="36"/>
        <w:wordWrap/>
        <w:spacing w:line="360" w:lineRule="auto"/>
        <w:ind w:left="142"/>
        <w:rPr>
          <w:rFonts w:ascii="宋体" w:hAnsi="宋体" w:eastAsia="宋体"/>
          <w:i/>
          <w:kern w:val="2"/>
          <w:sz w:val="24"/>
          <w:szCs w:val="24"/>
        </w:rPr>
      </w:pPr>
      <w:r>
        <w:rPr>
          <w:rFonts w:hint="eastAsia" w:ascii="宋体" w:hAnsi="宋体" w:eastAsia="宋体"/>
          <w:i/>
          <w:kern w:val="2"/>
          <w:sz w:val="24"/>
          <w:szCs w:val="24"/>
        </w:rPr>
        <w:t>移动壁障总质量为1814kg±23kg。</w:t>
      </w:r>
    </w:p>
    <w:p>
      <w:pPr>
        <w:pStyle w:val="36"/>
        <w:wordWrap/>
        <w:spacing w:line="360" w:lineRule="auto"/>
        <w:ind w:left="142"/>
        <w:rPr>
          <w:rFonts w:ascii="宋体" w:hAnsi="宋体" w:eastAsia="宋体"/>
          <w:i/>
          <w:kern w:val="2"/>
          <w:sz w:val="24"/>
          <w:szCs w:val="24"/>
        </w:rPr>
      </w:pPr>
      <w:r>
        <w:rPr>
          <w:rFonts w:hint="eastAsia" w:ascii="宋体" w:hAnsi="宋体" w:eastAsia="宋体"/>
          <w:i/>
          <w:kern w:val="2"/>
          <w:sz w:val="24"/>
          <w:szCs w:val="24"/>
        </w:rPr>
        <w:t>移动壁障总长度为3700mm±50mm，总宽度为2000±50mm，总高度为1682mm±50mm。</w:t>
      </w:r>
    </w:p>
    <w:p>
      <w:pPr>
        <w:pStyle w:val="36"/>
        <w:wordWrap/>
        <w:spacing w:line="360" w:lineRule="auto"/>
        <w:ind w:left="142"/>
        <w:rPr>
          <w:rFonts w:ascii="宋体" w:hAnsi="宋体" w:eastAsia="宋体"/>
          <w:i/>
          <w:kern w:val="2"/>
          <w:sz w:val="24"/>
          <w:szCs w:val="24"/>
        </w:rPr>
      </w:pPr>
      <w:r>
        <w:rPr>
          <w:rFonts w:hint="eastAsia" w:ascii="宋体" w:hAnsi="宋体" w:eastAsia="宋体"/>
          <w:i/>
          <w:kern w:val="2"/>
          <w:sz w:val="24"/>
          <w:szCs w:val="24"/>
        </w:rPr>
        <w:t>移动车轴距为2650mm±50mm，轮距为1725mm±50mm。</w:t>
      </w:r>
    </w:p>
    <w:p>
      <w:pPr>
        <w:pStyle w:val="36"/>
        <w:wordWrap/>
        <w:spacing w:line="360" w:lineRule="auto"/>
        <w:ind w:left="142"/>
        <w:rPr>
          <w:rFonts w:ascii="宋体" w:hAnsi="宋体" w:eastAsia="宋体"/>
          <w:i/>
          <w:kern w:val="2"/>
          <w:sz w:val="24"/>
          <w:szCs w:val="24"/>
        </w:rPr>
      </w:pPr>
      <w:r>
        <w:rPr>
          <w:rFonts w:hint="eastAsia" w:ascii="宋体" w:hAnsi="宋体" w:eastAsia="宋体"/>
          <w:i/>
          <w:kern w:val="2"/>
          <w:sz w:val="24"/>
          <w:szCs w:val="24"/>
        </w:rPr>
        <w:t>碰撞装置表面应为平面，宽度为1981mm，高度为1524mm，表面装有厚为19mm的胶合板。</w:t>
      </w:r>
    </w:p>
    <w:p>
      <w:pPr>
        <w:pStyle w:val="36"/>
        <w:wordWrap/>
        <w:spacing w:line="360" w:lineRule="auto"/>
        <w:ind w:left="141" w:leftChars="67"/>
        <w:rPr>
          <w:rFonts w:ascii="宋体" w:hAnsi="宋体" w:eastAsia="宋体"/>
          <w:i/>
          <w:kern w:val="2"/>
          <w:sz w:val="24"/>
          <w:szCs w:val="24"/>
        </w:rPr>
      </w:pPr>
      <w:r>
        <w:rPr>
          <w:rFonts w:hint="eastAsia" w:ascii="宋体" w:hAnsi="宋体" w:eastAsia="宋体"/>
          <w:i/>
          <w:kern w:val="2"/>
          <w:sz w:val="24"/>
          <w:szCs w:val="24"/>
        </w:rPr>
        <w:t>在碰撞瞬间移动车应与牵引装置脱离且能自由移动。</w:t>
      </w:r>
    </w:p>
    <w:p>
      <w:pPr>
        <w:pStyle w:val="35"/>
        <w:numPr>
          <w:ilvl w:val="1"/>
          <w:numId w:val="0"/>
        </w:numPr>
        <w:wordWrap/>
        <w:spacing w:beforeLines="0" w:afterLines="0" w:line="360" w:lineRule="auto"/>
        <w:ind w:leftChars="0"/>
        <w:rPr>
          <w:i/>
          <w:kern w:val="0"/>
          <w:sz w:val="24"/>
          <w:szCs w:val="24"/>
        </w:rPr>
      </w:pPr>
      <w:r>
        <w:rPr>
          <w:rFonts w:hint="eastAsia"/>
          <w:i/>
          <w:kern w:val="0"/>
          <w:sz w:val="24"/>
          <w:szCs w:val="24"/>
          <w:lang w:val="en-US" w:eastAsia="zh-CN"/>
        </w:rPr>
        <w:t xml:space="preserve">  </w:t>
      </w:r>
      <w:r>
        <w:rPr>
          <w:rFonts w:hint="eastAsia"/>
          <w:i/>
          <w:kern w:val="0"/>
          <w:sz w:val="24"/>
          <w:szCs w:val="24"/>
        </w:rPr>
        <w:t>试验步骤</w:t>
      </w:r>
    </w:p>
    <w:p>
      <w:pPr>
        <w:pStyle w:val="36"/>
        <w:wordWrap/>
        <w:spacing w:line="360" w:lineRule="auto"/>
        <w:ind w:left="142"/>
        <w:rPr>
          <w:rFonts w:ascii="宋体" w:hAnsi="宋体" w:eastAsia="宋体"/>
          <w:i/>
          <w:kern w:val="2"/>
          <w:sz w:val="24"/>
          <w:szCs w:val="24"/>
        </w:rPr>
      </w:pPr>
      <w:r>
        <w:rPr>
          <w:rFonts w:hint="eastAsia" w:ascii="宋体" w:hAnsi="宋体" w:eastAsia="宋体"/>
          <w:i/>
          <w:kern w:val="2"/>
          <w:sz w:val="24"/>
          <w:szCs w:val="24"/>
        </w:rPr>
        <w:t>试验车辆应保持静止。</w:t>
      </w:r>
    </w:p>
    <w:p>
      <w:pPr>
        <w:pStyle w:val="36"/>
        <w:wordWrap/>
        <w:spacing w:line="360" w:lineRule="auto"/>
        <w:ind w:left="142"/>
        <w:rPr>
          <w:rFonts w:ascii="宋体" w:hAnsi="宋体" w:eastAsia="宋体"/>
          <w:i/>
          <w:kern w:val="2"/>
          <w:sz w:val="24"/>
          <w:szCs w:val="24"/>
        </w:rPr>
      </w:pPr>
      <w:r>
        <w:rPr>
          <w:rFonts w:hint="eastAsia" w:ascii="宋体" w:hAnsi="宋体" w:eastAsia="宋体"/>
          <w:i/>
          <w:kern w:val="2"/>
          <w:sz w:val="24"/>
          <w:szCs w:val="24"/>
        </w:rPr>
        <w:t>试验时移动壁障应撞击在电池舱结构强度最薄弱区域，且碰撞装置应最大限度覆盖可充电储能系统。</w:t>
      </w:r>
    </w:p>
    <w:p>
      <w:pPr>
        <w:pStyle w:val="36"/>
        <w:wordWrap/>
        <w:spacing w:line="360" w:lineRule="auto"/>
        <w:ind w:left="142"/>
        <w:rPr>
          <w:rFonts w:ascii="宋体" w:hAnsi="宋体" w:eastAsia="宋体"/>
          <w:i/>
          <w:kern w:val="2"/>
          <w:sz w:val="24"/>
          <w:szCs w:val="24"/>
        </w:rPr>
      </w:pPr>
      <w:r>
        <w:rPr>
          <w:rFonts w:hint="eastAsia" w:ascii="宋体" w:hAnsi="宋体" w:eastAsia="宋体"/>
          <w:i/>
          <w:kern w:val="2"/>
          <w:sz w:val="24"/>
          <w:szCs w:val="24"/>
        </w:rPr>
        <w:t>当碰撞区域位于车辆尾部时，移动壁障行驶方向应平行于被撞车辆的纵向中心平面；当碰撞区域位于车辆侧面时，移动壁障行驶方向应垂直于被撞车辆的纵向中心平面。</w:t>
      </w:r>
    </w:p>
    <w:p>
      <w:pPr>
        <w:pStyle w:val="36"/>
        <w:wordWrap/>
        <w:spacing w:line="360" w:lineRule="auto"/>
        <w:ind w:left="142"/>
        <w:rPr>
          <w:rFonts w:ascii="宋体" w:hAnsi="宋体" w:eastAsia="宋体"/>
          <w:i/>
          <w:kern w:val="2"/>
          <w:sz w:val="24"/>
          <w:szCs w:val="24"/>
        </w:rPr>
      </w:pPr>
      <w:r>
        <w:rPr>
          <w:rFonts w:hint="eastAsia" w:ascii="宋体" w:hAnsi="宋体" w:eastAsia="宋体"/>
          <w:i/>
          <w:kern w:val="2"/>
          <w:sz w:val="24"/>
          <w:szCs w:val="24"/>
        </w:rPr>
        <w:t>试验速度</w:t>
      </w:r>
    </w:p>
    <w:p>
      <w:pPr>
        <w:pStyle w:val="47"/>
        <w:numPr>
          <w:ilvl w:val="0"/>
          <w:numId w:val="0"/>
        </w:numPr>
        <w:spacing w:line="360" w:lineRule="auto"/>
        <w:ind w:left="424"/>
        <w:rPr>
          <w:i/>
          <w:sz w:val="24"/>
          <w:szCs w:val="24"/>
        </w:rPr>
      </w:pPr>
      <w:r>
        <w:rPr>
          <w:rFonts w:hint="eastAsia"/>
          <w:i/>
          <w:sz w:val="24"/>
          <w:szCs w:val="24"/>
        </w:rPr>
        <w:t>在碰撞瞬间，移动壁障的速度应为40km/h±0.5km/h，并且该速度至少在碰撞前0.5m内保持稳定。如果试验在更高的碰撞速度下进行，且车辆符合本文件4.9的技术要求，也认为合格。</w:t>
      </w:r>
    </w:p>
    <w:p>
      <w:pPr>
        <w:pStyle w:val="20"/>
        <w:tabs>
          <w:tab w:val="left" w:pos="360"/>
        </w:tabs>
        <w:spacing w:line="360" w:lineRule="auto"/>
        <w:ind w:left="0" w:firstLine="480" w:firstLineChars="200"/>
        <w:jc w:val="left"/>
        <w:rPr>
          <w:rFonts w:ascii="宋体" w:hAnsi="宋体" w:eastAsia="宋体"/>
          <w:kern w:val="2"/>
          <w:sz w:val="24"/>
          <w:szCs w:val="24"/>
        </w:rPr>
      </w:pPr>
      <w:r>
        <w:rPr>
          <w:rFonts w:hint="eastAsia" w:ascii="宋体" w:hAnsi="宋体" w:eastAsia="宋体"/>
          <w:kern w:val="2"/>
          <w:sz w:val="24"/>
          <w:szCs w:val="24"/>
        </w:rPr>
        <w:t>说明：</w:t>
      </w:r>
    </w:p>
    <w:p>
      <w:pPr>
        <w:widowControl/>
        <w:spacing w:line="360" w:lineRule="auto"/>
        <w:ind w:firstLine="420"/>
        <w:jc w:val="left"/>
        <w:rPr>
          <w:rFonts w:ascii="宋体" w:hAnsi="宋体" w:cs="宋体"/>
          <w:kern w:val="0"/>
          <w:sz w:val="24"/>
        </w:rPr>
      </w:pPr>
      <w:r>
        <w:rPr>
          <w:rFonts w:hint="eastAsia" w:ascii="宋体" w:hAnsi="宋体"/>
          <w:sz w:val="24"/>
        </w:rPr>
        <w:t>本文件车辆碰撞防护要求主要关注纯电动客车</w:t>
      </w:r>
      <w:r>
        <w:rPr>
          <w:rFonts w:hint="eastAsia" w:ascii="宋体" w:hAnsi="宋体" w:cs="宋体"/>
          <w:kern w:val="0"/>
          <w:sz w:val="24"/>
        </w:rPr>
        <w:t>可充电储能系统</w:t>
      </w:r>
      <w:r>
        <w:rPr>
          <w:rFonts w:hint="eastAsia" w:ascii="宋体" w:hAnsi="宋体"/>
          <w:sz w:val="24"/>
        </w:rPr>
        <w:t>的碰撞安全性，考虑到目前纯电动客车</w:t>
      </w:r>
      <w:r>
        <w:rPr>
          <w:rFonts w:hint="eastAsia" w:ascii="宋体" w:hAnsi="宋体" w:cs="宋体"/>
          <w:kern w:val="0"/>
          <w:sz w:val="24"/>
        </w:rPr>
        <w:t>可充电储能系统安装位置主要有三种：车辆顶部、车架中段底部、车辆后部。可充电储能系统布置在车辆顶部时，</w:t>
      </w:r>
      <w:r>
        <w:rPr>
          <w:rFonts w:ascii="宋体" w:hAnsi="宋体" w:cs="宋体"/>
          <w:kern w:val="0"/>
          <w:sz w:val="24"/>
        </w:rPr>
        <w:t>按照GB 244</w:t>
      </w:r>
      <w:r>
        <w:rPr>
          <w:rFonts w:hint="eastAsia" w:ascii="宋体" w:hAnsi="宋体" w:cs="宋体"/>
          <w:kern w:val="0"/>
          <w:sz w:val="24"/>
        </w:rPr>
        <w:t>0</w:t>
      </w:r>
      <w:r>
        <w:rPr>
          <w:rFonts w:ascii="宋体" w:hAnsi="宋体" w:cs="宋体"/>
          <w:kern w:val="0"/>
          <w:sz w:val="24"/>
        </w:rPr>
        <w:t>7-2012附录A规定的顶部结构强度试验方法执行顶压试验。</w:t>
      </w:r>
      <w:r>
        <w:rPr>
          <w:rFonts w:hint="eastAsia" w:ascii="宋体" w:hAnsi="宋体" w:cs="宋体"/>
          <w:kern w:val="0"/>
          <w:sz w:val="24"/>
        </w:rPr>
        <w:t>可充电储能系统布置在车架中段底部、车辆后部时，按照附录A试验方法进行试验。</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附录A中规定的试验方法主要参照美国FMVSS 301《燃料系统的完整性》、美国APTA（公共交通委员会）制定的《标准公共汽车采购指导（</w:t>
      </w:r>
      <w:r>
        <w:rPr>
          <w:rFonts w:ascii="宋体" w:hAnsi="宋体" w:cs="宋体"/>
          <w:kern w:val="0"/>
          <w:sz w:val="24"/>
        </w:rPr>
        <w:t>Standard Bus Procurement Guidelines RFP</w:t>
      </w:r>
      <w:r>
        <w:rPr>
          <w:rFonts w:hint="eastAsia" w:ascii="宋体" w:hAnsi="宋体" w:cs="宋体"/>
          <w:kern w:val="0"/>
          <w:sz w:val="24"/>
        </w:rPr>
        <w:t>）》、GB 20071《汽车侧面碰撞的乘员保护》及GB 20072《乘用车后碰撞燃油系统安全要求》相关碰撞试验方法进行制定。</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美国APTA（公共交通委员会）制定的《标准公共汽车采购指导（</w:t>
      </w:r>
      <w:r>
        <w:rPr>
          <w:rFonts w:ascii="宋体" w:hAnsi="宋体" w:cs="宋体"/>
          <w:kern w:val="0"/>
          <w:sz w:val="24"/>
        </w:rPr>
        <w:t>Standard Bus Procurement Guidelines RFP</w:t>
      </w:r>
      <w:r>
        <w:rPr>
          <w:rFonts w:hint="eastAsia" w:ascii="宋体" w:hAnsi="宋体" w:cs="宋体"/>
          <w:kern w:val="0"/>
          <w:sz w:val="24"/>
        </w:rPr>
        <w:t>）》中对公共汽车侧面防撞性试验规定：客车的任何一侧（不包括门的位置）在受到一个时速40km/h(25 mph)，质量为1.814t（</w:t>
      </w:r>
      <w:r>
        <w:rPr>
          <w:rFonts w:ascii="宋体" w:hAnsi="宋体" w:cs="宋体"/>
          <w:kern w:val="0"/>
          <w:sz w:val="24"/>
        </w:rPr>
        <w:t>4000-pound</w:t>
      </w:r>
      <w:r>
        <w:rPr>
          <w:rFonts w:hint="eastAsia" w:ascii="宋体" w:hAnsi="宋体" w:cs="宋体"/>
          <w:kern w:val="0"/>
          <w:sz w:val="24"/>
        </w:rPr>
        <w:t xml:space="preserve">）的汽车撞击后，在车身上对应乘客H点的位置不应该有超过76.2mm（3 </w:t>
      </w:r>
      <w:r>
        <w:rPr>
          <w:rFonts w:ascii="宋体" w:hAnsi="宋体" w:cs="宋体"/>
          <w:kern w:val="0"/>
          <w:sz w:val="24"/>
        </w:rPr>
        <w:t>inch</w:t>
      </w:r>
      <w:r>
        <w:rPr>
          <w:rFonts w:hint="eastAsia" w:ascii="宋体" w:hAnsi="宋体" w:cs="宋体"/>
          <w:kern w:val="0"/>
          <w:sz w:val="24"/>
        </w:rPr>
        <w:t>）的永久结构变形。纯电动客车使用工况与APTA《标准公共汽车采购指导》中的公共汽车相近，因此相关试验条件主要参照APTA。</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A.3中移动壁障参照APTA、</w:t>
      </w:r>
      <w:r>
        <w:rPr>
          <w:rFonts w:ascii="宋体" w:hAnsi="宋体" w:cs="宋体"/>
          <w:kern w:val="0"/>
          <w:sz w:val="24"/>
        </w:rPr>
        <w:t>FMVSS 301</w:t>
      </w:r>
      <w:r>
        <w:rPr>
          <w:rFonts w:hint="eastAsia" w:ascii="宋体" w:hAnsi="宋体" w:cs="宋体"/>
          <w:kern w:val="0"/>
          <w:sz w:val="24"/>
        </w:rPr>
        <w:t>，使用1.8t的刚性移动壁障。规定的相关尺寸为目前国内试验场（重庆汽研）提供的1.8t刚性移动壁障尺寸。</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A.4.2碰撞位置选择主要是基于对可充电储能系统保护最不利位置。</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A.4.3碰撞角度，当可充电储能系统布置在车架中段底部，参照GB 20071进行侧面碰撞，移动壁障行驶方向垂直于被撞车辆的纵向中心平面；当可充电储能系统布置在车辆后部时，参照GB 20072进行后碰撞，移动壁障行驶方向平行于被撞车辆的纵向中心平面。</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A.4.4碰撞速度，参照APTA中试验速度制定。APTA要求的速度为40km/h，FMVSS 301S美国校车燃油箱侧碰速度为50km/h，用的是1.8t刚性壁障；GB 20071汽车侧面碰撞的乘员保护中要求为50km/h，用的是950kg可变形壁障；</w:t>
      </w:r>
      <w:r>
        <w:rPr>
          <w:rFonts w:ascii="宋体" w:hAnsi="宋体" w:cs="宋体"/>
          <w:kern w:val="0"/>
          <w:sz w:val="24"/>
        </w:rPr>
        <w:t>GB 20072</w:t>
      </w:r>
      <w:r>
        <w:rPr>
          <w:rFonts w:hint="eastAsia" w:ascii="宋体" w:hAnsi="宋体" w:cs="宋体"/>
          <w:kern w:val="0"/>
          <w:sz w:val="24"/>
        </w:rPr>
        <w:t>乘用车后碰撞燃油系统安全要求中速度为50km/h,用的是1.1t刚性壁障。综合考虑纯电动客车状态及使用工况，与APTA《标准公共汽车采购指导》中的公共汽车相近，因此参考APTA中的40km/h碰撞速度。</w:t>
      </w:r>
    </w:p>
    <w:sectPr>
      <w:footerReference r:id="rId5" w:type="first"/>
      <w:footerReference r:id="rId4" w:type="default"/>
      <w:pgSz w:w="11906" w:h="16838"/>
      <w:pgMar w:top="1440" w:right="1800" w:bottom="1440" w:left="1800" w:header="851" w:footer="992" w:gutter="0"/>
      <w:pgNumType w:fmt="numberInDash" w:start="1"/>
      <w:cols w:space="720"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auto"/>
    <w:pitch w:val="default"/>
    <w:sig w:usb0="A00002EF" w:usb1="4000004B" w:usb2="00000000" w:usb3="00000000" w:csb0="2000019F" w:csb1="00000000"/>
  </w:font>
  <w:font w:name="Calibri">
    <w:panose1 w:val="020F0502020204030204"/>
    <w:charset w:val="00"/>
    <w:family w:val="auto"/>
    <w:pitch w:val="default"/>
    <w:sig w:usb0="E10002FF" w:usb1="4000ACFF" w:usb2="00000009" w:usb3="00000000" w:csb0="2000019F" w:csb1="00000000"/>
  </w:font>
  <w:font w:name="Verdana">
    <w:panose1 w:val="020B0604030504040204"/>
    <w:charset w:val="00"/>
    <w:family w:val="auto"/>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rPr>
        <w:rFonts w:ascii="Times New Roman" w:hAnsi="Times New Roman" w:eastAsia="宋体" w:cs="Times New Roman"/>
        <w:kern w:val="2"/>
        <w:sz w:val="21"/>
        <w:szCs w:val="24"/>
        <w:lang w:val="en-US" w:eastAsia="zh-CN" w:bidi="ar-SA"/>
      </w:rPr>
      <w:pict>
        <v:shape id="文本框 3" o:spid="_x0000_s1025" type="#_x0000_t202" style="position:absolute;left:0;margin-top:0pt;height:144pt;width:144pt;mso-position-horizontal:center;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pStyle w:val="10"/>
                  <w:jc w:val="center"/>
                  <w:rPr>
                    <w:rStyle w:val="16"/>
                  </w:rPr>
                </w:pPr>
                <w:r>
                  <w:fldChar w:fldCharType="begin"/>
                </w:r>
                <w:r>
                  <w:rPr>
                    <w:rStyle w:val="16"/>
                  </w:rPr>
                  <w:instrText xml:space="preserve">PAGE  </w:instrText>
                </w:r>
                <w:r>
                  <w:fldChar w:fldCharType="separate"/>
                </w:r>
                <w:r>
                  <w:rPr>
                    <w:rStyle w:val="16"/>
                  </w:rPr>
                  <w:t>- 1 -</w:t>
                </w:r>
                <w:r>
                  <w:fldChar w:fldCharType="end"/>
                </w:r>
              </w:p>
              <w:p>
                <w:pPr>
                  <w:pStyle w:val="10"/>
                  <w:jc w:val="center"/>
                  <w:rPr>
                    <w:rStyle w:val="16"/>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601305639">
    <w:nsid w:val="23D73227"/>
    <w:multiLevelType w:val="multilevel"/>
    <w:tmpl w:val="23D73227"/>
    <w:lvl w:ilvl="0" w:tentative="1">
      <w:start w:val="6"/>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44533495">
    <w:nsid w:val="0E9348F7"/>
    <w:multiLevelType w:val="multilevel"/>
    <w:tmpl w:val="0E9348F7"/>
    <w:lvl w:ilvl="0" w:tentative="1">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471413170">
    <w:nsid w:val="1C1931B2"/>
    <w:multiLevelType w:val="multilevel"/>
    <w:tmpl w:val="1C1931B2"/>
    <w:lvl w:ilvl="0" w:tentative="1">
      <w:start w:val="1"/>
      <w:numFmt w:val="lowerLetter"/>
      <w:lvlText w:val="%1)"/>
      <w:lvlJc w:val="left"/>
      <w:pPr>
        <w:ind w:left="360" w:hanging="360"/>
      </w:pPr>
      <w:rPr>
        <w:rFonts w:hint="default" w:ascii="Times New Roman" w:cs="宋体"/>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744036291">
    <w:nsid w:val="2C5917C3"/>
    <w:multiLevelType w:val="multilevel"/>
    <w:tmpl w:val="2C5917C3"/>
    <w:lvl w:ilvl="0" w:tentative="1">
      <w:start w:val="1"/>
      <w:numFmt w:val="none"/>
      <w:pStyle w:val="47"/>
      <w:suff w:val="nothing"/>
      <w:lvlText w:val="%1——"/>
      <w:lvlJc w:val="left"/>
      <w:pPr>
        <w:ind w:left="833" w:hanging="408"/>
      </w:pPr>
      <w:rPr>
        <w:rFonts w:hint="eastAsia"/>
      </w:rPr>
    </w:lvl>
    <w:lvl w:ilvl="1" w:tentative="1">
      <w:start w:val="1"/>
      <w:numFmt w:val="bullet"/>
      <w:pStyle w:val="48"/>
      <w:lvlText w:val=""/>
      <w:lvlJc w:val="left"/>
      <w:pPr>
        <w:tabs>
          <w:tab w:val="left" w:pos="760"/>
        </w:tabs>
        <w:ind w:left="1264" w:hanging="413"/>
      </w:pPr>
      <w:rPr>
        <w:rFonts w:hint="default" w:ascii="Symbol" w:hAnsi="Symbol"/>
        <w:color w:val="auto"/>
      </w:rPr>
    </w:lvl>
    <w:lvl w:ilvl="2" w:tentative="1">
      <w:start w:val="1"/>
      <w:numFmt w:val="bullet"/>
      <w:pStyle w:val="49"/>
      <w:lvlText w:val=""/>
      <w:lvlJc w:val="left"/>
      <w:pPr>
        <w:tabs>
          <w:tab w:val="left" w:pos="1678"/>
        </w:tabs>
        <w:ind w:left="1678" w:hanging="414"/>
      </w:pPr>
      <w:rPr>
        <w:rFonts w:hint="default" w:ascii="Symbol" w:hAnsi="Symbol"/>
        <w:color w:val="auto"/>
      </w:rPr>
    </w:lvl>
    <w:lvl w:ilvl="3" w:tentative="1">
      <w:start w:val="1"/>
      <w:numFmt w:val="decimal"/>
      <w:lvlText w:val="%4."/>
      <w:lvlJc w:val="left"/>
      <w:pPr>
        <w:tabs>
          <w:tab w:val="left" w:pos="2071"/>
        </w:tabs>
        <w:ind w:left="1884" w:hanging="528"/>
      </w:pPr>
      <w:rPr>
        <w:rFonts w:hint="eastAsia"/>
      </w:rPr>
    </w:lvl>
    <w:lvl w:ilvl="4" w:tentative="1">
      <w:start w:val="1"/>
      <w:numFmt w:val="lowerLetter"/>
      <w:lvlText w:val="%5)"/>
      <w:lvlJc w:val="left"/>
      <w:pPr>
        <w:tabs>
          <w:tab w:val="left" w:pos="2383"/>
        </w:tabs>
        <w:ind w:left="2196" w:hanging="528"/>
      </w:pPr>
      <w:rPr>
        <w:rFonts w:hint="eastAsia"/>
      </w:rPr>
    </w:lvl>
    <w:lvl w:ilvl="5" w:tentative="1">
      <w:start w:val="1"/>
      <w:numFmt w:val="lowerRoman"/>
      <w:lvlText w:val="%6."/>
      <w:lvlJc w:val="right"/>
      <w:pPr>
        <w:tabs>
          <w:tab w:val="left" w:pos="2695"/>
        </w:tabs>
        <w:ind w:left="2508" w:hanging="528"/>
      </w:pPr>
      <w:rPr>
        <w:rFonts w:hint="eastAsia"/>
      </w:rPr>
    </w:lvl>
    <w:lvl w:ilvl="6" w:tentative="1">
      <w:start w:val="1"/>
      <w:numFmt w:val="decimal"/>
      <w:lvlText w:val="%7."/>
      <w:lvlJc w:val="left"/>
      <w:pPr>
        <w:tabs>
          <w:tab w:val="left" w:pos="3007"/>
        </w:tabs>
        <w:ind w:left="2820" w:hanging="528"/>
      </w:pPr>
      <w:rPr>
        <w:rFonts w:hint="eastAsia"/>
      </w:rPr>
    </w:lvl>
    <w:lvl w:ilvl="7" w:tentative="1">
      <w:start w:val="1"/>
      <w:numFmt w:val="lowerLetter"/>
      <w:lvlText w:val="%8)"/>
      <w:lvlJc w:val="left"/>
      <w:pPr>
        <w:tabs>
          <w:tab w:val="left" w:pos="3319"/>
        </w:tabs>
        <w:ind w:left="3132" w:hanging="528"/>
      </w:pPr>
      <w:rPr>
        <w:rFonts w:hint="eastAsia"/>
      </w:rPr>
    </w:lvl>
    <w:lvl w:ilvl="8" w:tentative="1">
      <w:start w:val="1"/>
      <w:numFmt w:val="lowerRoman"/>
      <w:lvlText w:val="%9."/>
      <w:lvlJc w:val="right"/>
      <w:pPr>
        <w:tabs>
          <w:tab w:val="left" w:pos="3631"/>
        </w:tabs>
        <w:ind w:left="3444" w:hanging="528"/>
      </w:pPr>
      <w:rPr>
        <w:rFonts w:hint="eastAsia"/>
      </w:rPr>
    </w:lvl>
  </w:abstractNum>
  <w:abstractNum w:abstractNumId="2080908364">
    <w:nsid w:val="7C08244C"/>
    <w:multiLevelType w:val="multilevel"/>
    <w:tmpl w:val="7C08244C"/>
    <w:lvl w:ilvl="0" w:tentative="1">
      <w:start w:val="1"/>
      <w:numFmt w:val="lowerLetter"/>
      <w:lvlText w:val="%1)"/>
      <w:lvlJc w:val="left"/>
      <w:pPr>
        <w:ind w:left="780" w:hanging="360"/>
      </w:pPr>
      <w:rPr>
        <w:rFonts w:hint="default"/>
      </w:rPr>
    </w:lvl>
    <w:lvl w:ilvl="1" w:tentative="1">
      <w:start w:val="1"/>
      <w:numFmt w:val="lowerLetter"/>
      <w:lvlText w:val="%2)"/>
      <w:lvlJc w:val="left"/>
      <w:pPr>
        <w:ind w:left="1260" w:hanging="420"/>
      </w:p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abstractNum w:abstractNumId="1089890136">
    <w:nsid w:val="40F66758"/>
    <w:multiLevelType w:val="multilevel"/>
    <w:tmpl w:val="40F66758"/>
    <w:lvl w:ilvl="0" w:tentative="1">
      <w:start w:val="1"/>
      <w:numFmt w:val="lowerLetter"/>
      <w:lvlText w:val="%1)"/>
      <w:lvlJc w:val="left"/>
      <w:pPr>
        <w:ind w:left="780" w:hanging="360"/>
      </w:pPr>
      <w:rPr>
        <w:rFonts w:hint="default"/>
      </w:rPr>
    </w:lvl>
    <w:lvl w:ilvl="1" w:tentative="1">
      <w:start w:val="1"/>
      <w:numFmt w:val="lowerLetter"/>
      <w:lvlText w:val="%2)"/>
      <w:lvlJc w:val="left"/>
      <w:pPr>
        <w:ind w:left="1260" w:hanging="420"/>
      </w:p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abstractNum w:abstractNumId="1702707132">
    <w:nsid w:val="657D3FBC"/>
    <w:multiLevelType w:val="multilevel"/>
    <w:tmpl w:val="657D3FBC"/>
    <w:lvl w:ilvl="0" w:tentative="1">
      <w:start w:val="1"/>
      <w:numFmt w:val="upperLetter"/>
      <w:pStyle w:val="34"/>
      <w:suff w:val="nothing"/>
      <w:lvlText w:val="附　录　%1"/>
      <w:lvlJc w:val="left"/>
      <w:pPr>
        <w:ind w:left="3970" w:firstLine="0"/>
      </w:pPr>
      <w:rPr>
        <w:rFonts w:hint="eastAsia" w:ascii="黑体" w:hAnsi="Times New Roman" w:eastAsia="黑体"/>
        <w:b w:val="0"/>
        <w:i w:val="0"/>
        <w:sz w:val="21"/>
      </w:rPr>
    </w:lvl>
    <w:lvl w:ilvl="1" w:tentative="1">
      <w:start w:val="1"/>
      <w:numFmt w:val="decimal"/>
      <w:pStyle w:val="35"/>
      <w:lvlText w:val="%2."/>
      <w:lvlJc w:val="left"/>
      <w:pPr>
        <w:ind w:left="1135" w:firstLine="0"/>
      </w:pPr>
      <w:rPr>
        <w:rFonts w:hint="eastAsia"/>
        <w:b w:val="0"/>
        <w:i w:val="0"/>
        <w:spacing w:val="0"/>
        <w:w w:val="100"/>
        <w:kern w:val="21"/>
        <w:sz w:val="21"/>
      </w:rPr>
    </w:lvl>
    <w:lvl w:ilvl="2" w:tentative="1">
      <w:start w:val="1"/>
      <w:numFmt w:val="decimal"/>
      <w:pStyle w:val="36"/>
      <w:suff w:val="nothing"/>
      <w:lvlText w:val="%3）"/>
      <w:lvlJc w:val="left"/>
      <w:pPr>
        <w:ind w:left="0" w:firstLine="0"/>
      </w:pPr>
      <w:rPr>
        <w:rFonts w:ascii="黑体" w:hAnsi="宋体" w:eastAsia="黑体" w:cs="Times New Roman"/>
        <w:b w:val="0"/>
        <w:i w:val="0"/>
        <w:sz w:val="21"/>
      </w:rPr>
    </w:lvl>
    <w:lvl w:ilvl="3" w:tentative="1">
      <w:start w:val="1"/>
      <w:numFmt w:val="decimal"/>
      <w:pStyle w:val="37"/>
      <w:suff w:val="nothing"/>
      <w:lvlText w:val="%1.%2.%3.%4　"/>
      <w:lvlJc w:val="left"/>
      <w:pPr>
        <w:ind w:left="0" w:firstLine="0"/>
      </w:pPr>
      <w:rPr>
        <w:rFonts w:hint="eastAsia" w:ascii="黑体" w:hAnsi="Times New Roman" w:eastAsia="黑体"/>
        <w:b w:val="0"/>
        <w:i w:val="0"/>
        <w:sz w:val="21"/>
      </w:rPr>
    </w:lvl>
    <w:lvl w:ilvl="4" w:tentative="1">
      <w:start w:val="1"/>
      <w:numFmt w:val="decimal"/>
      <w:pStyle w:val="38"/>
      <w:suff w:val="nothing"/>
      <w:lvlText w:val="%1.%2.%3.%4.%5　"/>
      <w:lvlJc w:val="left"/>
      <w:pPr>
        <w:ind w:left="0" w:firstLine="0"/>
      </w:pPr>
      <w:rPr>
        <w:rFonts w:hint="eastAsia" w:ascii="黑体" w:hAnsi="Times New Roman" w:eastAsia="黑体"/>
        <w:b w:val="0"/>
        <w:i w:val="0"/>
        <w:sz w:val="21"/>
      </w:rPr>
    </w:lvl>
    <w:lvl w:ilvl="5" w:tentative="1">
      <w:start w:val="1"/>
      <w:numFmt w:val="decimal"/>
      <w:pStyle w:val="40"/>
      <w:suff w:val="nothing"/>
      <w:lvlText w:val="%1.%2.%3.%4.%5.%6　"/>
      <w:lvlJc w:val="left"/>
      <w:pPr>
        <w:ind w:left="0" w:firstLine="0"/>
      </w:pPr>
      <w:rPr>
        <w:rFonts w:hint="eastAsia" w:ascii="黑体" w:hAnsi="Times New Roman" w:eastAsia="黑体"/>
        <w:b w:val="0"/>
        <w:i w:val="0"/>
        <w:sz w:val="21"/>
      </w:rPr>
    </w:lvl>
    <w:lvl w:ilvl="6" w:tentative="1">
      <w:start w:val="1"/>
      <w:numFmt w:val="decimal"/>
      <w:pStyle w:val="39"/>
      <w:suff w:val="nothing"/>
      <w:lvlText w:val="%1.%2.%3.%4.%5.%6.%7　"/>
      <w:lvlJc w:val="left"/>
      <w:pPr>
        <w:ind w:left="0" w:firstLine="0"/>
      </w:pPr>
      <w:rPr>
        <w:rFonts w:hint="eastAsia" w:ascii="黑体" w:hAnsi="Times New Roman" w:eastAsia="黑体"/>
        <w:b w:val="0"/>
        <w:i w:val="0"/>
        <w:sz w:val="21"/>
      </w:rPr>
    </w:lvl>
    <w:lvl w:ilvl="7" w:tentative="1">
      <w:start w:val="1"/>
      <w:numFmt w:val="decimal"/>
      <w:lvlText w:val="%1.%2.%3.%4.%5.%6.%7.%8"/>
      <w:lvlJc w:val="left"/>
      <w:pPr>
        <w:tabs>
          <w:tab w:val="left" w:pos="4394"/>
        </w:tabs>
        <w:ind w:left="4394" w:hanging="1418"/>
      </w:pPr>
      <w:rPr>
        <w:rFonts w:hint="eastAsia"/>
      </w:rPr>
    </w:lvl>
    <w:lvl w:ilvl="8" w:tentative="1">
      <w:start w:val="1"/>
      <w:numFmt w:val="decimal"/>
      <w:lvlText w:val="%1.%2.%3.%4.%5.%6.%7.%8.%9"/>
      <w:lvlJc w:val="left"/>
      <w:pPr>
        <w:tabs>
          <w:tab w:val="left" w:pos="5102"/>
        </w:tabs>
        <w:ind w:left="5102" w:hanging="1700"/>
      </w:pPr>
      <w:rPr>
        <w:rFonts w:hint="eastAsia"/>
      </w:rPr>
    </w:lvl>
  </w:abstractNum>
  <w:abstractNum w:abstractNumId="1265842783">
    <w:nsid w:val="4B733A5F"/>
    <w:multiLevelType w:val="multilevel"/>
    <w:tmpl w:val="4B733A5F"/>
    <w:lvl w:ilvl="0" w:tentative="1">
      <w:start w:val="1"/>
      <w:numFmt w:val="decimal"/>
      <w:pStyle w:val="54"/>
      <w:suff w:val="nothing"/>
      <w:lvlText w:val="示例%1："/>
      <w:lvlJc w:val="left"/>
      <w:pPr>
        <w:ind w:left="0" w:firstLine="363"/>
      </w:pPr>
      <w:rPr>
        <w:rFonts w:hint="eastAsia" w:ascii="黑体" w:eastAsia="黑体"/>
        <w:b w:val="0"/>
        <w:i w:val="0"/>
        <w:sz w:val="18"/>
        <w:szCs w:val="18"/>
      </w:rPr>
    </w:lvl>
    <w:lvl w:ilvl="1" w:tentative="1">
      <w:start w:val="1"/>
      <w:numFmt w:val="lowerLetter"/>
      <w:lvlText w:val="%2)"/>
      <w:lvlJc w:val="left"/>
      <w:pPr>
        <w:ind w:left="0" w:firstLine="0"/>
      </w:pPr>
      <w:rPr>
        <w:rFonts w:hint="eastAsia"/>
      </w:rPr>
    </w:lvl>
    <w:lvl w:ilvl="2" w:tentative="1">
      <w:start w:val="1"/>
      <w:numFmt w:val="lowerRoman"/>
      <w:lvlText w:val="%3."/>
      <w:lvlJc w:val="right"/>
      <w:pPr>
        <w:ind w:left="839" w:hanging="442"/>
      </w:pPr>
      <w:rPr>
        <w:rFonts w:hint="eastAsia"/>
      </w:rPr>
    </w:lvl>
    <w:lvl w:ilvl="3" w:tentative="1">
      <w:start w:val="1"/>
      <w:numFmt w:val="decimal"/>
      <w:lvlText w:val="%4."/>
      <w:lvlJc w:val="left"/>
      <w:pPr>
        <w:ind w:left="839" w:hanging="442"/>
      </w:pPr>
      <w:rPr>
        <w:rFonts w:hint="eastAsia"/>
      </w:rPr>
    </w:lvl>
    <w:lvl w:ilvl="4" w:tentative="1">
      <w:start w:val="1"/>
      <w:numFmt w:val="lowerLetter"/>
      <w:lvlText w:val="%5)"/>
      <w:lvlJc w:val="left"/>
      <w:pPr>
        <w:ind w:left="839" w:hanging="442"/>
      </w:pPr>
      <w:rPr>
        <w:rFonts w:hint="eastAsia"/>
      </w:rPr>
    </w:lvl>
    <w:lvl w:ilvl="5" w:tentative="1">
      <w:start w:val="1"/>
      <w:numFmt w:val="lowerRoman"/>
      <w:lvlText w:val="%6."/>
      <w:lvlJc w:val="right"/>
      <w:pPr>
        <w:ind w:left="839" w:hanging="442"/>
      </w:pPr>
      <w:rPr>
        <w:rFonts w:hint="eastAsia"/>
      </w:rPr>
    </w:lvl>
    <w:lvl w:ilvl="6" w:tentative="1">
      <w:start w:val="1"/>
      <w:numFmt w:val="decimal"/>
      <w:lvlText w:val="%7."/>
      <w:lvlJc w:val="left"/>
      <w:pPr>
        <w:ind w:left="839" w:hanging="442"/>
      </w:pPr>
      <w:rPr>
        <w:rFonts w:hint="eastAsia"/>
      </w:rPr>
    </w:lvl>
    <w:lvl w:ilvl="7" w:tentative="1">
      <w:start w:val="1"/>
      <w:numFmt w:val="lowerLetter"/>
      <w:lvlText w:val="%8)"/>
      <w:lvlJc w:val="left"/>
      <w:pPr>
        <w:ind w:left="839" w:hanging="442"/>
      </w:pPr>
      <w:rPr>
        <w:rFonts w:hint="eastAsia"/>
      </w:rPr>
    </w:lvl>
    <w:lvl w:ilvl="8" w:tentative="1">
      <w:start w:val="1"/>
      <w:numFmt w:val="lowerRoman"/>
      <w:lvlText w:val="%9."/>
      <w:lvlJc w:val="right"/>
      <w:pPr>
        <w:ind w:left="839" w:hanging="442"/>
      </w:pPr>
      <w:rPr>
        <w:rFonts w:hint="eastAsia"/>
      </w:rPr>
    </w:lvl>
  </w:abstractNum>
  <w:abstractNum w:abstractNumId="1827282981">
    <w:nsid w:val="6CEA2025"/>
    <w:multiLevelType w:val="multilevel"/>
    <w:tmpl w:val="6CEA2025"/>
    <w:lvl w:ilvl="0" w:tentative="1">
      <w:start w:val="1"/>
      <w:numFmt w:val="none"/>
      <w:pStyle w:val="25"/>
      <w:suff w:val="nothing"/>
      <w:lvlText w:val="%1"/>
      <w:lvlJc w:val="left"/>
      <w:pPr>
        <w:ind w:left="0" w:firstLine="0"/>
      </w:pPr>
      <w:rPr>
        <w:rFonts w:hint="default" w:ascii="Times New Roman" w:hAnsi="Times New Roman"/>
        <w:b/>
        <w:i w:val="0"/>
        <w:sz w:val="21"/>
      </w:rPr>
    </w:lvl>
    <w:lvl w:ilvl="1" w:tentative="1">
      <w:start w:val="1"/>
      <w:numFmt w:val="decimal"/>
      <w:suff w:val="nothing"/>
      <w:lvlText w:val="%1%2　"/>
      <w:lvlJc w:val="left"/>
      <w:pPr>
        <w:ind w:left="0" w:firstLine="0"/>
      </w:pPr>
      <w:rPr>
        <w:rFonts w:hint="eastAsia" w:ascii="黑体" w:hAnsi="Times New Roman" w:eastAsia="黑体"/>
        <w:b w:val="0"/>
        <w:i w:val="0"/>
        <w:sz w:val="21"/>
      </w:rPr>
    </w:lvl>
    <w:lvl w:ilvl="2" w:tentative="1">
      <w:start w:val="1"/>
      <w:numFmt w:val="decimal"/>
      <w:suff w:val="nothing"/>
      <w:lvlText w:val="%1%2.%3　"/>
      <w:lvlJc w:val="left"/>
      <w:pPr>
        <w:ind w:left="142" w:firstLine="0"/>
      </w:pPr>
      <w:rPr>
        <w:rFonts w:hint="eastAsia" w:ascii="黑体" w:hAnsi="Times New Roman" w:eastAsia="黑体"/>
        <w:b w:val="0"/>
        <w:i w:val="0"/>
        <w:sz w:val="21"/>
      </w:rPr>
    </w:lvl>
    <w:lvl w:ilvl="3" w:tentative="1">
      <w:start w:val="1"/>
      <w:numFmt w:val="decimal"/>
      <w:suff w:val="nothing"/>
      <w:lvlText w:val="%1%2.%3.%4　"/>
      <w:lvlJc w:val="left"/>
      <w:pPr>
        <w:ind w:left="0" w:firstLine="0"/>
      </w:pPr>
      <w:rPr>
        <w:rFonts w:ascii="Times New Roman" w:hAnsi="Times New Roman" w:cs="Times New Roman"/>
        <w:b w:val="0"/>
        <w:bCs w:val="0"/>
        <w:i w:val="0"/>
        <w:iCs w:val="0"/>
        <w:caps w:val="0"/>
        <w:smallCaps w:val="0"/>
        <w:strike w:val="0"/>
        <w:dstrike w:val="0"/>
        <w:outline w:val="0"/>
        <w:shadow w:val="0"/>
        <w:snapToGrid w:val="0"/>
        <w:color w:val="000000"/>
        <w:spacing w:val="0"/>
        <w:w w:val="0"/>
        <w:kern w:val="0"/>
        <w:position w:val="0"/>
        <w:szCs w:val="16"/>
        <w:u w:val="none"/>
      </w:rPr>
    </w:lvl>
    <w:lvl w:ilvl="4" w:tentative="1">
      <w:start w:val="1"/>
      <w:numFmt w:val="decimal"/>
      <w:suff w:val="nothing"/>
      <w:lvlText w:val="%1%2.%3.%4.%5　"/>
      <w:lvlJc w:val="left"/>
      <w:pPr>
        <w:ind w:left="0" w:firstLine="0"/>
      </w:pPr>
      <w:rPr>
        <w:rFonts w:hint="eastAsia" w:ascii="黑体" w:hAnsi="Times New Roman" w:eastAsia="黑体"/>
        <w:b w:val="0"/>
        <w:i w:val="0"/>
        <w:sz w:val="21"/>
      </w:rPr>
    </w:lvl>
    <w:lvl w:ilvl="5" w:tentative="1">
      <w:start w:val="1"/>
      <w:numFmt w:val="decimal"/>
      <w:suff w:val="nothing"/>
      <w:lvlText w:val="%1%2.%3.%4.%5.%6　"/>
      <w:lvlJc w:val="left"/>
      <w:pPr>
        <w:ind w:left="0" w:firstLine="0"/>
      </w:pPr>
      <w:rPr>
        <w:rFonts w:hint="eastAsia" w:ascii="黑体" w:hAnsi="Times New Roman" w:eastAsia="黑体"/>
        <w:b w:val="0"/>
        <w:i w:val="0"/>
        <w:sz w:val="21"/>
      </w:rPr>
    </w:lvl>
    <w:lvl w:ilvl="6" w:tentative="1">
      <w:start w:val="1"/>
      <w:numFmt w:val="decimal"/>
      <w:suff w:val="nothing"/>
      <w:lvlText w:val="%1%2.%3.%4.%5.%6.%7　"/>
      <w:lvlJc w:val="left"/>
      <w:pPr>
        <w:ind w:left="0" w:firstLine="0"/>
      </w:pPr>
      <w:rPr>
        <w:rFonts w:hint="eastAsia" w:ascii="黑体" w:hAnsi="Times New Roman" w:eastAsia="黑体"/>
        <w:b w:val="0"/>
        <w:i w:val="0"/>
        <w:sz w:val="21"/>
      </w:rPr>
    </w:lvl>
    <w:lvl w:ilvl="7" w:tentative="1">
      <w:start w:val="1"/>
      <w:numFmt w:val="decimal"/>
      <w:lvlText w:val="%1.%2.%3.%4.%5.%6.%7.%8"/>
      <w:lvlJc w:val="left"/>
      <w:pPr>
        <w:tabs>
          <w:tab w:val="left" w:pos="4351"/>
        </w:tabs>
        <w:ind w:left="3969" w:hanging="1418"/>
      </w:pPr>
      <w:rPr>
        <w:rFonts w:hint="eastAsia"/>
      </w:rPr>
    </w:lvl>
    <w:lvl w:ilvl="8" w:tentative="1">
      <w:start w:val="1"/>
      <w:numFmt w:val="decimal"/>
      <w:lvlText w:val="%1.%2.%3.%4.%5.%6.%7.%8.%9"/>
      <w:lvlJc w:val="left"/>
      <w:pPr>
        <w:tabs>
          <w:tab w:val="left" w:pos="4777"/>
        </w:tabs>
        <w:ind w:left="4677" w:hanging="1700"/>
      </w:pPr>
      <w:rPr>
        <w:rFonts w:hint="eastAsia"/>
      </w:rPr>
    </w:lvl>
  </w:abstractNum>
  <w:abstractNum w:abstractNumId="1886677743">
    <w:nsid w:val="70746AEF"/>
    <w:multiLevelType w:val="multilevel"/>
    <w:tmpl w:val="70746AEF"/>
    <w:lvl w:ilvl="0" w:tentative="1">
      <w:start w:val="1"/>
      <w:numFmt w:val="lowerLetter"/>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944074250">
    <w:nsid w:val="38456E0A"/>
    <w:multiLevelType w:val="multilevel"/>
    <w:tmpl w:val="38456E0A"/>
    <w:lvl w:ilvl="0" w:tentative="1">
      <w:start w:val="1"/>
      <w:numFmt w:val="lowerLetter"/>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33270883">
    <w:nsid w:val="1FC91163"/>
    <w:multiLevelType w:val="multilevel"/>
    <w:tmpl w:val="1FC91163"/>
    <w:lvl w:ilvl="0" w:tentative="1">
      <w:start w:val="1"/>
      <w:numFmt w:val="decimal"/>
      <w:pStyle w:val="56"/>
      <w:suff w:val="nothing"/>
      <w:lvlText w:val="%1　"/>
      <w:lvlJc w:val="left"/>
      <w:pPr>
        <w:ind w:left="420" w:firstLine="0"/>
      </w:pPr>
      <w:rPr>
        <w:rFonts w:hint="eastAsia" w:ascii="黑体" w:hAnsi="Times New Roman" w:eastAsia="黑体"/>
        <w:b w:val="0"/>
        <w:i w:val="0"/>
        <w:sz w:val="21"/>
        <w:szCs w:val="21"/>
      </w:rPr>
    </w:lvl>
    <w:lvl w:ilvl="1" w:tentative="1">
      <w:start w:val="1"/>
      <w:numFmt w:val="decimal"/>
      <w:pStyle w:val="21"/>
      <w:suff w:val="nothing"/>
      <w:lvlText w:val="%1.%2　"/>
      <w:lvlJc w:val="left"/>
      <w:pPr>
        <w:ind w:left="1697" w:firstLine="0"/>
      </w:pPr>
      <w:rPr>
        <w:rFonts w:hint="eastAsia" w:ascii="黑体" w:hAnsi="黑体" w:eastAsia="黑体" w:cs="Times New Roman"/>
        <w:b w:val="0"/>
        <w:bCs w:val="0"/>
        <w:i w:val="0"/>
        <w:iCs w:val="0"/>
        <w:caps w:val="0"/>
        <w:strike w:val="0"/>
        <w:dstrike w:val="0"/>
        <w:outline w:val="0"/>
        <w:shadow w:val="0"/>
        <w:spacing w:val="0"/>
        <w:kern w:val="0"/>
        <w:position w:val="0"/>
        <w:sz w:val="21"/>
        <w:szCs w:val="21"/>
        <w:u w:val="none"/>
      </w:rPr>
    </w:lvl>
    <w:lvl w:ilvl="2" w:tentative="1">
      <w:start w:val="1"/>
      <w:numFmt w:val="decimal"/>
      <w:suff w:val="nothing"/>
      <w:lvlText w:val="%1.%2.%3　"/>
      <w:lvlJc w:val="left"/>
      <w:pPr>
        <w:ind w:left="1555" w:firstLine="0"/>
      </w:pPr>
      <w:rPr>
        <w:rFonts w:hint="eastAsia" w:ascii="黑体" w:hAnsi="黑体" w:eastAsia="黑体"/>
        <w:b w:val="0"/>
        <w:i w:val="0"/>
        <w:sz w:val="21"/>
      </w:rPr>
    </w:lvl>
    <w:lvl w:ilvl="3" w:tentative="1">
      <w:start w:val="1"/>
      <w:numFmt w:val="decimal"/>
      <w:suff w:val="nothing"/>
      <w:lvlText w:val="%1.%2.%3.%4　"/>
      <w:lvlJc w:val="left"/>
      <w:pPr>
        <w:ind w:left="1413" w:firstLine="0"/>
      </w:pPr>
      <w:rPr>
        <w:rFonts w:ascii="宋体" w:hAnsi="宋体" w:eastAsia="宋体" w:cs="Times New Roman"/>
        <w:b w:val="0"/>
        <w:bCs w:val="0"/>
        <w:i w:val="0"/>
        <w:iCs w:val="0"/>
        <w:caps w:val="0"/>
        <w:smallCaps w:val="0"/>
        <w:strike w:val="0"/>
        <w:dstrike w:val="0"/>
        <w:outline w:val="0"/>
        <w:shadow w:val="0"/>
        <w:snapToGrid w:val="0"/>
        <w:color w:val="auto"/>
        <w:spacing w:val="0"/>
        <w:w w:val="100"/>
        <w:kern w:val="0"/>
        <w:position w:val="0"/>
        <w:sz w:val="21"/>
        <w:szCs w:val="16"/>
        <w:u w:val="none"/>
        <w:shd w:val="clear" w:color="auto" w:fill="auto"/>
      </w:rPr>
    </w:lvl>
    <w:lvl w:ilvl="4" w:tentative="1">
      <w:start w:val="1"/>
      <w:numFmt w:val="decimal"/>
      <w:suff w:val="nothing"/>
      <w:lvlText w:val="%1.%2.%3.%4.%5　"/>
      <w:lvlJc w:val="left"/>
      <w:pPr>
        <w:ind w:left="420" w:firstLine="0"/>
      </w:pPr>
      <w:rPr>
        <w:rFonts w:hint="eastAsia" w:ascii="黑体" w:hAnsi="Times New Roman" w:eastAsia="黑体"/>
        <w:b w:val="0"/>
        <w:i w:val="0"/>
        <w:sz w:val="21"/>
      </w:rPr>
    </w:lvl>
    <w:lvl w:ilvl="5" w:tentative="1">
      <w:start w:val="1"/>
      <w:numFmt w:val="decimal"/>
      <w:suff w:val="nothing"/>
      <w:lvlText w:val="%1.%2.%3.%4.%5.%6　"/>
      <w:lvlJc w:val="left"/>
      <w:pPr>
        <w:ind w:left="420" w:firstLine="0"/>
      </w:pPr>
      <w:rPr>
        <w:rFonts w:hint="eastAsia" w:ascii="黑体" w:hAnsi="Times New Roman" w:eastAsia="黑体"/>
        <w:b w:val="0"/>
        <w:i w:val="0"/>
        <w:sz w:val="21"/>
      </w:rPr>
    </w:lvl>
    <w:lvl w:ilvl="6" w:tentative="1">
      <w:start w:val="1"/>
      <w:numFmt w:val="decimal"/>
      <w:suff w:val="nothing"/>
      <w:lvlText w:val="%1%2.%3.%4.%5.%6.%7　"/>
      <w:lvlJc w:val="left"/>
      <w:pPr>
        <w:ind w:left="420" w:firstLine="0"/>
      </w:pPr>
      <w:rPr>
        <w:rFonts w:hint="eastAsia" w:ascii="黑体" w:hAnsi="Times New Roman" w:eastAsia="黑体"/>
        <w:b w:val="0"/>
        <w:i w:val="0"/>
        <w:sz w:val="21"/>
      </w:rPr>
    </w:lvl>
    <w:lvl w:ilvl="7" w:tentative="1">
      <w:start w:val="1"/>
      <w:numFmt w:val="decimal"/>
      <w:lvlText w:val="%1.%2.%3.%4.%5.%6.%7.%8"/>
      <w:lvlJc w:val="left"/>
      <w:pPr>
        <w:tabs>
          <w:tab w:val="left" w:pos="4771"/>
        </w:tabs>
        <w:ind w:left="4389" w:hanging="1418"/>
      </w:pPr>
      <w:rPr>
        <w:rFonts w:hint="eastAsia"/>
      </w:rPr>
    </w:lvl>
    <w:lvl w:ilvl="8" w:tentative="1">
      <w:start w:val="1"/>
      <w:numFmt w:val="decimal"/>
      <w:lvlText w:val="%1.%2.%3.%4.%5.%6.%7.%8.%9"/>
      <w:lvlJc w:val="left"/>
      <w:pPr>
        <w:tabs>
          <w:tab w:val="left" w:pos="5197"/>
        </w:tabs>
        <w:ind w:left="5097" w:hanging="1700"/>
      </w:pPr>
      <w:rPr>
        <w:rFonts w:hint="eastAsia"/>
      </w:rPr>
    </w:lvl>
  </w:abstractNum>
  <w:abstractNum w:abstractNumId="182675433">
    <w:nsid w:val="0AE367E9"/>
    <w:multiLevelType w:val="multilevel"/>
    <w:tmpl w:val="0AE367E9"/>
    <w:lvl w:ilvl="0" w:tentative="1">
      <w:start w:val="1"/>
      <w:numFmt w:val="none"/>
      <w:pStyle w:val="51"/>
      <w:suff w:val="nothing"/>
      <w:lvlText w:val="%1示例："/>
      <w:lvlJc w:val="left"/>
      <w:pPr>
        <w:ind w:left="0" w:firstLine="363"/>
      </w:pPr>
      <w:rPr>
        <w:rFonts w:hint="eastAsia" w:ascii="黑体" w:eastAsia="黑体"/>
        <w:b w:val="0"/>
        <w:i w:val="0"/>
        <w:sz w:val="18"/>
        <w:szCs w:val="18"/>
      </w:rPr>
    </w:lvl>
    <w:lvl w:ilvl="1" w:tentative="1">
      <w:start w:val="1"/>
      <w:numFmt w:val="lowerLetter"/>
      <w:lvlText w:val="%2)"/>
      <w:lvlJc w:val="left"/>
      <w:pPr>
        <w:tabs>
          <w:tab w:val="left" w:pos="363"/>
        </w:tabs>
        <w:ind w:left="0" w:firstLine="363"/>
      </w:pPr>
      <w:rPr>
        <w:rFonts w:hint="eastAsia"/>
      </w:rPr>
    </w:lvl>
    <w:lvl w:ilvl="2" w:tentative="1">
      <w:start w:val="1"/>
      <w:numFmt w:val="lowerRoman"/>
      <w:lvlText w:val="%3."/>
      <w:lvlJc w:val="right"/>
      <w:pPr>
        <w:tabs>
          <w:tab w:val="left" w:pos="363"/>
        </w:tabs>
        <w:ind w:left="0" w:firstLine="363"/>
      </w:pPr>
      <w:rPr>
        <w:rFonts w:hint="eastAsia"/>
      </w:rPr>
    </w:lvl>
    <w:lvl w:ilvl="3" w:tentative="1">
      <w:start w:val="1"/>
      <w:numFmt w:val="decimal"/>
      <w:lvlText w:val="%4."/>
      <w:lvlJc w:val="left"/>
      <w:pPr>
        <w:tabs>
          <w:tab w:val="left" w:pos="363"/>
        </w:tabs>
        <w:ind w:left="0" w:firstLine="363"/>
      </w:pPr>
      <w:rPr>
        <w:rFonts w:hint="eastAsia"/>
      </w:rPr>
    </w:lvl>
    <w:lvl w:ilvl="4" w:tentative="1">
      <w:start w:val="1"/>
      <w:numFmt w:val="lowerLetter"/>
      <w:lvlText w:val="%5)"/>
      <w:lvlJc w:val="left"/>
      <w:pPr>
        <w:tabs>
          <w:tab w:val="left" w:pos="363"/>
        </w:tabs>
        <w:ind w:left="0" w:firstLine="363"/>
      </w:pPr>
      <w:rPr>
        <w:rFonts w:hint="eastAsia"/>
      </w:rPr>
    </w:lvl>
    <w:lvl w:ilvl="5" w:tentative="1">
      <w:start w:val="1"/>
      <w:numFmt w:val="lowerRoman"/>
      <w:lvlText w:val="%6."/>
      <w:lvlJc w:val="right"/>
      <w:pPr>
        <w:tabs>
          <w:tab w:val="left" w:pos="363"/>
        </w:tabs>
        <w:ind w:left="0" w:firstLine="363"/>
      </w:pPr>
      <w:rPr>
        <w:rFonts w:hint="eastAsia"/>
      </w:rPr>
    </w:lvl>
    <w:lvl w:ilvl="6" w:tentative="1">
      <w:start w:val="1"/>
      <w:numFmt w:val="decimal"/>
      <w:lvlText w:val="%7."/>
      <w:lvlJc w:val="left"/>
      <w:pPr>
        <w:tabs>
          <w:tab w:val="left" w:pos="363"/>
        </w:tabs>
        <w:ind w:left="0" w:firstLine="363"/>
      </w:pPr>
      <w:rPr>
        <w:rFonts w:hint="eastAsia"/>
      </w:rPr>
    </w:lvl>
    <w:lvl w:ilvl="7" w:tentative="1">
      <w:start w:val="1"/>
      <w:numFmt w:val="lowerLetter"/>
      <w:lvlText w:val="%8)"/>
      <w:lvlJc w:val="left"/>
      <w:pPr>
        <w:tabs>
          <w:tab w:val="left" w:pos="363"/>
        </w:tabs>
        <w:ind w:left="0" w:firstLine="363"/>
      </w:pPr>
      <w:rPr>
        <w:rFonts w:hint="eastAsia"/>
      </w:rPr>
    </w:lvl>
    <w:lvl w:ilvl="8" w:tentative="1">
      <w:start w:val="1"/>
      <w:numFmt w:val="lowerRoman"/>
      <w:lvlText w:val="%9."/>
      <w:lvlJc w:val="right"/>
      <w:pPr>
        <w:tabs>
          <w:tab w:val="left" w:pos="363"/>
        </w:tabs>
        <w:ind w:left="0" w:firstLine="363"/>
      </w:pPr>
      <w:rPr>
        <w:rFonts w:hint="eastAsia"/>
      </w:rPr>
    </w:lvl>
  </w:abstractNum>
  <w:abstractNum w:abstractNumId="67769805">
    <w:nsid w:val="040A15CD"/>
    <w:multiLevelType w:val="multilevel"/>
    <w:tmpl w:val="040A15CD"/>
    <w:lvl w:ilvl="0" w:tentative="1">
      <w:start w:val="1"/>
      <w:numFmt w:val="none"/>
      <w:suff w:val="nothing"/>
      <w:lvlText w:val="　"/>
      <w:lvlJc w:val="left"/>
      <w:pPr>
        <w:ind w:left="0" w:firstLine="0"/>
      </w:pPr>
      <w:rPr>
        <w:rFonts w:hint="eastAsia" w:ascii="黑体" w:hAnsi="Times New Roman" w:eastAsia="黑体"/>
        <w:b w:val="0"/>
        <w:i w:val="0"/>
        <w:sz w:val="21"/>
      </w:rPr>
    </w:lvl>
    <w:lvl w:ilvl="1" w:tentative="1">
      <w:start w:val="1"/>
      <w:numFmt w:val="decimal"/>
      <w:isLgl/>
      <w:suff w:val="nothing"/>
      <w:lvlText w:val="%2　"/>
      <w:lvlJc w:val="left"/>
      <w:pPr>
        <w:ind w:left="0" w:firstLine="0"/>
      </w:pPr>
      <w:rPr>
        <w:rFonts w:hint="eastAsia" w:ascii="黑体" w:hAnsi="Times New Roman" w:eastAsia="黑体"/>
        <w:b w:val="0"/>
        <w:i w:val="0"/>
        <w:spacing w:val="0"/>
        <w:w w:val="100"/>
        <w:kern w:val="21"/>
        <w:sz w:val="21"/>
      </w:rPr>
    </w:lvl>
    <w:lvl w:ilvl="2" w:tentative="1">
      <w:start w:val="1"/>
      <w:numFmt w:val="decimal"/>
      <w:pStyle w:val="45"/>
      <w:suff w:val="nothing"/>
      <w:lvlText w:val="%1%2.%3　"/>
      <w:lvlJc w:val="left"/>
      <w:pPr>
        <w:ind w:left="0" w:firstLine="0"/>
      </w:pPr>
      <w:rPr>
        <w:rFonts w:hint="eastAsia" w:ascii="黑体" w:hAnsi="Times New Roman" w:eastAsia="黑体"/>
        <w:b w:val="0"/>
        <w:i w:val="0"/>
        <w:sz w:val="21"/>
      </w:rPr>
    </w:lvl>
    <w:lvl w:ilvl="3" w:tentative="1">
      <w:start w:val="1"/>
      <w:numFmt w:val="decimal"/>
      <w:pStyle w:val="41"/>
      <w:suff w:val="nothing"/>
      <w:lvlText w:val="%1%2.%3.%4　"/>
      <w:lvlJc w:val="left"/>
      <w:pPr>
        <w:ind w:left="0" w:firstLine="0"/>
      </w:pPr>
      <w:rPr>
        <w:rFonts w:hint="eastAsia" w:ascii="黑体" w:hAnsi="Times New Roman" w:eastAsia="黑体"/>
        <w:b w:val="0"/>
        <w:i w:val="0"/>
        <w:sz w:val="21"/>
      </w:rPr>
    </w:lvl>
    <w:lvl w:ilvl="4" w:tentative="1">
      <w:start w:val="1"/>
      <w:numFmt w:val="decimal"/>
      <w:pStyle w:val="42"/>
      <w:suff w:val="nothing"/>
      <w:lvlText w:val="%1%2.%3.%4.%5　"/>
      <w:lvlJc w:val="left"/>
      <w:pPr>
        <w:ind w:left="0" w:firstLine="0"/>
      </w:pPr>
      <w:rPr>
        <w:rFonts w:hint="eastAsia" w:ascii="黑体" w:hAnsi="Times New Roman" w:eastAsia="黑体"/>
        <w:b w:val="0"/>
        <w:i w:val="0"/>
        <w:sz w:val="21"/>
      </w:rPr>
    </w:lvl>
    <w:lvl w:ilvl="5" w:tentative="1">
      <w:start w:val="1"/>
      <w:numFmt w:val="decimal"/>
      <w:pStyle w:val="43"/>
      <w:suff w:val="nothing"/>
      <w:lvlText w:val="%1%2.%3.%4.%5.%6　"/>
      <w:lvlJc w:val="left"/>
      <w:pPr>
        <w:ind w:left="0" w:firstLine="0"/>
      </w:pPr>
      <w:rPr>
        <w:rFonts w:hint="eastAsia" w:ascii="黑体" w:hAnsi="Times New Roman" w:eastAsia="黑体"/>
        <w:b w:val="0"/>
        <w:i w:val="0"/>
        <w:sz w:val="21"/>
      </w:rPr>
    </w:lvl>
    <w:lvl w:ilvl="6" w:tentative="1">
      <w:start w:val="1"/>
      <w:numFmt w:val="decimal"/>
      <w:pStyle w:val="44"/>
      <w:suff w:val="nothing"/>
      <w:lvlText w:val="%1%2.%3.%4.%5.%6.%7　"/>
      <w:lvlJc w:val="left"/>
      <w:pPr>
        <w:ind w:left="0" w:firstLine="0"/>
      </w:pPr>
      <w:rPr>
        <w:rFonts w:hint="eastAsia" w:ascii="黑体" w:hAnsi="Times New Roman" w:eastAsia="黑体"/>
        <w:b w:val="0"/>
        <w:i w:val="0"/>
        <w:sz w:val="21"/>
      </w:rPr>
    </w:lvl>
    <w:lvl w:ilvl="7" w:tentative="1">
      <w:start w:val="1"/>
      <w:numFmt w:val="decimal"/>
      <w:lvlText w:val="%1.%2.%3.%4.%5.%6.%7.%8"/>
      <w:lvlJc w:val="left"/>
      <w:pPr>
        <w:tabs>
          <w:tab w:val="left" w:pos="4394"/>
        </w:tabs>
        <w:ind w:left="4394" w:hanging="1418"/>
      </w:pPr>
      <w:rPr>
        <w:rFonts w:hint="eastAsia"/>
      </w:rPr>
    </w:lvl>
    <w:lvl w:ilvl="8" w:tentative="1">
      <w:start w:val="1"/>
      <w:numFmt w:val="decimal"/>
      <w:lvlText w:val="%1.%2.%3.%4.%5.%6.%7.%8.%9"/>
      <w:lvlJc w:val="left"/>
      <w:pPr>
        <w:tabs>
          <w:tab w:val="left" w:pos="5102"/>
        </w:tabs>
        <w:ind w:left="5102" w:hanging="1700"/>
      </w:pPr>
      <w:rPr>
        <w:rFonts w:hint="eastAsia"/>
      </w:rPr>
    </w:lvl>
  </w:abstractNum>
  <w:abstractNum w:abstractNumId="29426164">
    <w:nsid w:val="01C101F4"/>
    <w:multiLevelType w:val="multilevel"/>
    <w:tmpl w:val="01C101F4"/>
    <w:lvl w:ilvl="0" w:tentative="1">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84168954">
    <w:nsid w:val="646260FA"/>
    <w:multiLevelType w:val="multilevel"/>
    <w:tmpl w:val="646260FA"/>
    <w:lvl w:ilvl="0" w:tentative="1">
      <w:start w:val="1"/>
      <w:numFmt w:val="decimal"/>
      <w:pStyle w:val="52"/>
      <w:suff w:val="nothing"/>
      <w:lvlText w:val="表%1　"/>
      <w:lvlJc w:val="left"/>
      <w:pPr>
        <w:ind w:left="4537" w:firstLine="0"/>
      </w:pPr>
      <w:rPr>
        <w:rFonts w:hint="eastAsia" w:ascii="黑体" w:hAnsi="Times New Roman" w:eastAsia="黑体"/>
        <w:b w:val="0"/>
        <w:i w:val="0"/>
        <w:sz w:val="21"/>
      </w:rPr>
    </w:lvl>
    <w:lvl w:ilvl="1" w:tentative="1">
      <w:start w:val="1"/>
      <w:numFmt w:val="decimal"/>
      <w:lvlText w:val="%1.%2"/>
      <w:lvlJc w:val="left"/>
      <w:pPr>
        <w:tabs>
          <w:tab w:val="left" w:pos="992"/>
        </w:tabs>
        <w:ind w:left="992" w:hanging="567"/>
      </w:pPr>
      <w:rPr>
        <w:rFonts w:hint="eastAsia"/>
      </w:rPr>
    </w:lvl>
    <w:lvl w:ilvl="2" w:tentative="1">
      <w:start w:val="1"/>
      <w:numFmt w:val="decimal"/>
      <w:lvlText w:val="%1.%2.%3"/>
      <w:lvlJc w:val="left"/>
      <w:pPr>
        <w:tabs>
          <w:tab w:val="left" w:pos="1418"/>
        </w:tabs>
        <w:ind w:left="1418" w:hanging="567"/>
      </w:pPr>
      <w:rPr>
        <w:rFonts w:hint="eastAsia"/>
      </w:rPr>
    </w:lvl>
    <w:lvl w:ilvl="3" w:tentative="1">
      <w:start w:val="1"/>
      <w:numFmt w:val="decimal"/>
      <w:lvlText w:val="%1.%2.%3.%4"/>
      <w:lvlJc w:val="left"/>
      <w:pPr>
        <w:tabs>
          <w:tab w:val="left" w:pos="1984"/>
        </w:tabs>
        <w:ind w:left="1984" w:hanging="708"/>
      </w:pPr>
      <w:rPr>
        <w:rFonts w:hint="eastAsia"/>
      </w:rPr>
    </w:lvl>
    <w:lvl w:ilvl="4" w:tentative="1">
      <w:start w:val="1"/>
      <w:numFmt w:val="decimal"/>
      <w:lvlText w:val="%1.%2.%3.%4.%5"/>
      <w:lvlJc w:val="left"/>
      <w:pPr>
        <w:tabs>
          <w:tab w:val="left" w:pos="2551"/>
        </w:tabs>
        <w:ind w:left="2551" w:hanging="850"/>
      </w:pPr>
      <w:rPr>
        <w:rFonts w:hint="eastAsia"/>
      </w:rPr>
    </w:lvl>
    <w:lvl w:ilvl="5" w:tentative="1">
      <w:start w:val="1"/>
      <w:numFmt w:val="decimal"/>
      <w:lvlText w:val="%1.%2.%3.%4.%5.%6"/>
      <w:lvlJc w:val="left"/>
      <w:pPr>
        <w:tabs>
          <w:tab w:val="left" w:pos="3260"/>
        </w:tabs>
        <w:ind w:left="3260" w:hanging="1134"/>
      </w:pPr>
      <w:rPr>
        <w:rFonts w:hint="eastAsia"/>
      </w:rPr>
    </w:lvl>
    <w:lvl w:ilvl="6" w:tentative="1">
      <w:start w:val="1"/>
      <w:numFmt w:val="decimal"/>
      <w:lvlText w:val="%1.%2.%3.%4.%5.%6.%7"/>
      <w:lvlJc w:val="left"/>
      <w:pPr>
        <w:tabs>
          <w:tab w:val="left" w:pos="3827"/>
        </w:tabs>
        <w:ind w:left="3827" w:hanging="1276"/>
      </w:pPr>
      <w:rPr>
        <w:rFonts w:hint="eastAsia"/>
      </w:rPr>
    </w:lvl>
    <w:lvl w:ilvl="7" w:tentative="1">
      <w:start w:val="1"/>
      <w:numFmt w:val="decimal"/>
      <w:lvlText w:val="%1.%2.%3.%4.%5.%6.%7.%8"/>
      <w:lvlJc w:val="left"/>
      <w:pPr>
        <w:tabs>
          <w:tab w:val="left" w:pos="4394"/>
        </w:tabs>
        <w:ind w:left="4394" w:hanging="1418"/>
      </w:pPr>
      <w:rPr>
        <w:rFonts w:hint="eastAsia"/>
      </w:rPr>
    </w:lvl>
    <w:lvl w:ilvl="8" w:tentative="1">
      <w:start w:val="1"/>
      <w:numFmt w:val="decimal"/>
      <w:lvlText w:val="%1.%2.%3.%4.%5.%6.%7.%8.%9"/>
      <w:lvlJc w:val="left"/>
      <w:pPr>
        <w:tabs>
          <w:tab w:val="left" w:pos="5102"/>
        </w:tabs>
        <w:ind w:left="5102" w:hanging="1700"/>
      </w:pPr>
      <w:rPr>
        <w:rFonts w:hint="eastAsia"/>
      </w:rPr>
    </w:lvl>
  </w:abstractNum>
  <w:abstractNum w:abstractNumId="107507234">
    <w:nsid w:val="06686E22"/>
    <w:multiLevelType w:val="multilevel"/>
    <w:tmpl w:val="06686E22"/>
    <w:lvl w:ilvl="0" w:tentative="1">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533270883"/>
  </w:num>
  <w:num w:numId="2">
    <w:abstractNumId w:val="1827282981"/>
  </w:num>
  <w:num w:numId="3">
    <w:abstractNumId w:val="1702707132"/>
  </w:num>
  <w:num w:numId="4">
    <w:abstractNumId w:val="67769805"/>
  </w:num>
  <w:num w:numId="5">
    <w:abstractNumId w:val="744036291"/>
  </w:num>
  <w:num w:numId="6">
    <w:abstractNumId w:val="182675433"/>
  </w:num>
  <w:num w:numId="7">
    <w:abstractNumId w:val="1684168954"/>
  </w:num>
  <w:num w:numId="8">
    <w:abstractNumId w:val="1265842783"/>
  </w:num>
  <w:num w:numId="9">
    <w:abstractNumId w:val="107507234"/>
  </w:num>
  <w:num w:numId="10">
    <w:abstractNumId w:val="471413170"/>
  </w:num>
  <w:num w:numId="11">
    <w:abstractNumId w:val="1886677743"/>
  </w:num>
  <w:num w:numId="12">
    <w:abstractNumId w:val="944074250"/>
  </w:num>
  <w:num w:numId="13">
    <w:abstractNumId w:val="601305639"/>
  </w:num>
  <w:num w:numId="14">
    <w:abstractNumId w:val="244533495"/>
  </w:num>
  <w:num w:numId="15">
    <w:abstractNumId w:val="1089890136"/>
  </w:num>
  <w:num w:numId="16">
    <w:abstractNumId w:val="2080908364"/>
  </w:num>
  <w:num w:numId="17">
    <w:abstractNumId w:val="294261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documentProtection w:enforcement="0"/>
  <w:defaultTabStop w:val="420"/>
  <w:drawingGridHorizontalSpacing w:val="21"/>
  <w:drawingGridVerticalSpacing w:val="3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6E674C"/>
    <w:rsid w:val="0000088F"/>
    <w:rsid w:val="00001BA8"/>
    <w:rsid w:val="0000305D"/>
    <w:rsid w:val="0000307A"/>
    <w:rsid w:val="000039B4"/>
    <w:rsid w:val="00003E73"/>
    <w:rsid w:val="00004974"/>
    <w:rsid w:val="000051E3"/>
    <w:rsid w:val="0000532A"/>
    <w:rsid w:val="00011B0E"/>
    <w:rsid w:val="000147D8"/>
    <w:rsid w:val="0001507D"/>
    <w:rsid w:val="00016472"/>
    <w:rsid w:val="00021FC5"/>
    <w:rsid w:val="000229C7"/>
    <w:rsid w:val="00024326"/>
    <w:rsid w:val="00024D02"/>
    <w:rsid w:val="00027229"/>
    <w:rsid w:val="00027F70"/>
    <w:rsid w:val="00030796"/>
    <w:rsid w:val="00030DAB"/>
    <w:rsid w:val="000311D9"/>
    <w:rsid w:val="000313D3"/>
    <w:rsid w:val="000319EE"/>
    <w:rsid w:val="00032AFD"/>
    <w:rsid w:val="00032EEE"/>
    <w:rsid w:val="00032FEB"/>
    <w:rsid w:val="00033256"/>
    <w:rsid w:val="000334C9"/>
    <w:rsid w:val="00034550"/>
    <w:rsid w:val="0003699C"/>
    <w:rsid w:val="000412AC"/>
    <w:rsid w:val="00042AD6"/>
    <w:rsid w:val="00043626"/>
    <w:rsid w:val="00044991"/>
    <w:rsid w:val="00046DA3"/>
    <w:rsid w:val="00050B9E"/>
    <w:rsid w:val="000531C2"/>
    <w:rsid w:val="00053DC9"/>
    <w:rsid w:val="000560F5"/>
    <w:rsid w:val="0006268D"/>
    <w:rsid w:val="0006337F"/>
    <w:rsid w:val="00065A83"/>
    <w:rsid w:val="00065DD7"/>
    <w:rsid w:val="00066845"/>
    <w:rsid w:val="000676F4"/>
    <w:rsid w:val="00067852"/>
    <w:rsid w:val="00071EAA"/>
    <w:rsid w:val="00074582"/>
    <w:rsid w:val="00075308"/>
    <w:rsid w:val="000771C0"/>
    <w:rsid w:val="00084188"/>
    <w:rsid w:val="00084539"/>
    <w:rsid w:val="000848C7"/>
    <w:rsid w:val="00090A8A"/>
    <w:rsid w:val="000915B2"/>
    <w:rsid w:val="000920BC"/>
    <w:rsid w:val="0009374D"/>
    <w:rsid w:val="00093E37"/>
    <w:rsid w:val="00096F9B"/>
    <w:rsid w:val="000A0424"/>
    <w:rsid w:val="000A0ECF"/>
    <w:rsid w:val="000A2CEF"/>
    <w:rsid w:val="000A5B12"/>
    <w:rsid w:val="000A7021"/>
    <w:rsid w:val="000A7DC4"/>
    <w:rsid w:val="000B0E84"/>
    <w:rsid w:val="000B1919"/>
    <w:rsid w:val="000B2DAB"/>
    <w:rsid w:val="000B4AEA"/>
    <w:rsid w:val="000B4D37"/>
    <w:rsid w:val="000B5A2E"/>
    <w:rsid w:val="000B5EC6"/>
    <w:rsid w:val="000B6C1F"/>
    <w:rsid w:val="000B6D75"/>
    <w:rsid w:val="000B709D"/>
    <w:rsid w:val="000C0185"/>
    <w:rsid w:val="000D022B"/>
    <w:rsid w:val="000D17AF"/>
    <w:rsid w:val="000D6689"/>
    <w:rsid w:val="000D78E6"/>
    <w:rsid w:val="000E066C"/>
    <w:rsid w:val="000E1B50"/>
    <w:rsid w:val="000E1BB3"/>
    <w:rsid w:val="000E4795"/>
    <w:rsid w:val="000E5CD3"/>
    <w:rsid w:val="000F085C"/>
    <w:rsid w:val="000F1C0F"/>
    <w:rsid w:val="000F1D28"/>
    <w:rsid w:val="000F2498"/>
    <w:rsid w:val="000F25C4"/>
    <w:rsid w:val="000F28C8"/>
    <w:rsid w:val="000F7064"/>
    <w:rsid w:val="001001A4"/>
    <w:rsid w:val="0010070F"/>
    <w:rsid w:val="00101414"/>
    <w:rsid w:val="001033E2"/>
    <w:rsid w:val="00103967"/>
    <w:rsid w:val="00103FA3"/>
    <w:rsid w:val="00104181"/>
    <w:rsid w:val="00104FFE"/>
    <w:rsid w:val="00105095"/>
    <w:rsid w:val="001058F5"/>
    <w:rsid w:val="00105CEF"/>
    <w:rsid w:val="0010618C"/>
    <w:rsid w:val="00114005"/>
    <w:rsid w:val="00115407"/>
    <w:rsid w:val="00116860"/>
    <w:rsid w:val="001172B7"/>
    <w:rsid w:val="00121D3D"/>
    <w:rsid w:val="0012474E"/>
    <w:rsid w:val="00126454"/>
    <w:rsid w:val="00127EB1"/>
    <w:rsid w:val="00130913"/>
    <w:rsid w:val="0013369D"/>
    <w:rsid w:val="00133804"/>
    <w:rsid w:val="00136BC0"/>
    <w:rsid w:val="00137960"/>
    <w:rsid w:val="00140BC6"/>
    <w:rsid w:val="00142359"/>
    <w:rsid w:val="00143F42"/>
    <w:rsid w:val="00145045"/>
    <w:rsid w:val="00145412"/>
    <w:rsid w:val="00147012"/>
    <w:rsid w:val="00150063"/>
    <w:rsid w:val="00152FE8"/>
    <w:rsid w:val="001535F7"/>
    <w:rsid w:val="001547A0"/>
    <w:rsid w:val="00154BCD"/>
    <w:rsid w:val="0015690B"/>
    <w:rsid w:val="001605D4"/>
    <w:rsid w:val="00160DF5"/>
    <w:rsid w:val="00165CD1"/>
    <w:rsid w:val="001666BF"/>
    <w:rsid w:val="001666F5"/>
    <w:rsid w:val="00170BFC"/>
    <w:rsid w:val="00171564"/>
    <w:rsid w:val="00172ACF"/>
    <w:rsid w:val="00174846"/>
    <w:rsid w:val="00180BC6"/>
    <w:rsid w:val="0018203D"/>
    <w:rsid w:val="00182FE2"/>
    <w:rsid w:val="001846A0"/>
    <w:rsid w:val="001846DA"/>
    <w:rsid w:val="00185290"/>
    <w:rsid w:val="00186117"/>
    <w:rsid w:val="00190E01"/>
    <w:rsid w:val="00191019"/>
    <w:rsid w:val="00191584"/>
    <w:rsid w:val="00191DC1"/>
    <w:rsid w:val="00192912"/>
    <w:rsid w:val="00192BA6"/>
    <w:rsid w:val="001939AA"/>
    <w:rsid w:val="00193F9D"/>
    <w:rsid w:val="0019583B"/>
    <w:rsid w:val="001976FB"/>
    <w:rsid w:val="00197E7C"/>
    <w:rsid w:val="001A078D"/>
    <w:rsid w:val="001A1A8D"/>
    <w:rsid w:val="001A4918"/>
    <w:rsid w:val="001A4E96"/>
    <w:rsid w:val="001A7538"/>
    <w:rsid w:val="001A7C88"/>
    <w:rsid w:val="001B11C2"/>
    <w:rsid w:val="001B1652"/>
    <w:rsid w:val="001B3D57"/>
    <w:rsid w:val="001B4E13"/>
    <w:rsid w:val="001B73F3"/>
    <w:rsid w:val="001C07C3"/>
    <w:rsid w:val="001C087A"/>
    <w:rsid w:val="001C095F"/>
    <w:rsid w:val="001C1660"/>
    <w:rsid w:val="001C6867"/>
    <w:rsid w:val="001C7575"/>
    <w:rsid w:val="001D04DD"/>
    <w:rsid w:val="001D05C0"/>
    <w:rsid w:val="001D1555"/>
    <w:rsid w:val="001D7869"/>
    <w:rsid w:val="001E0C36"/>
    <w:rsid w:val="001E35B1"/>
    <w:rsid w:val="001E4062"/>
    <w:rsid w:val="001E46E0"/>
    <w:rsid w:val="001E533C"/>
    <w:rsid w:val="001E546F"/>
    <w:rsid w:val="001E6CA8"/>
    <w:rsid w:val="001F043D"/>
    <w:rsid w:val="001F3895"/>
    <w:rsid w:val="001F759D"/>
    <w:rsid w:val="001F7EA9"/>
    <w:rsid w:val="00200165"/>
    <w:rsid w:val="00201E22"/>
    <w:rsid w:val="002028DD"/>
    <w:rsid w:val="00202DD3"/>
    <w:rsid w:val="00203097"/>
    <w:rsid w:val="00204C9D"/>
    <w:rsid w:val="00205A01"/>
    <w:rsid w:val="002067A8"/>
    <w:rsid w:val="00210D16"/>
    <w:rsid w:val="00214172"/>
    <w:rsid w:val="00215114"/>
    <w:rsid w:val="00215563"/>
    <w:rsid w:val="00215D4A"/>
    <w:rsid w:val="00216708"/>
    <w:rsid w:val="00217267"/>
    <w:rsid w:val="00217FE9"/>
    <w:rsid w:val="002204BB"/>
    <w:rsid w:val="00220F3F"/>
    <w:rsid w:val="00221D3A"/>
    <w:rsid w:val="00221FBD"/>
    <w:rsid w:val="002221C6"/>
    <w:rsid w:val="00222E6E"/>
    <w:rsid w:val="002234CB"/>
    <w:rsid w:val="002247D9"/>
    <w:rsid w:val="002247E9"/>
    <w:rsid w:val="00225849"/>
    <w:rsid w:val="00226B90"/>
    <w:rsid w:val="00230A41"/>
    <w:rsid w:val="00230E52"/>
    <w:rsid w:val="00231381"/>
    <w:rsid w:val="00232CB8"/>
    <w:rsid w:val="002335F1"/>
    <w:rsid w:val="00235CA1"/>
    <w:rsid w:val="00236AB6"/>
    <w:rsid w:val="0023726C"/>
    <w:rsid w:val="00244EFF"/>
    <w:rsid w:val="002472CF"/>
    <w:rsid w:val="00251FEF"/>
    <w:rsid w:val="00256040"/>
    <w:rsid w:val="002560C6"/>
    <w:rsid w:val="0026197E"/>
    <w:rsid w:val="0026255A"/>
    <w:rsid w:val="0026283F"/>
    <w:rsid w:val="002634B5"/>
    <w:rsid w:val="0026424B"/>
    <w:rsid w:val="00265EDF"/>
    <w:rsid w:val="002706C0"/>
    <w:rsid w:val="00271F40"/>
    <w:rsid w:val="002740CC"/>
    <w:rsid w:val="00274804"/>
    <w:rsid w:val="00275218"/>
    <w:rsid w:val="00275295"/>
    <w:rsid w:val="002759B5"/>
    <w:rsid w:val="002775C2"/>
    <w:rsid w:val="00277E14"/>
    <w:rsid w:val="00280113"/>
    <w:rsid w:val="00280B94"/>
    <w:rsid w:val="00282346"/>
    <w:rsid w:val="002829EE"/>
    <w:rsid w:val="002834DB"/>
    <w:rsid w:val="0028422A"/>
    <w:rsid w:val="002872D8"/>
    <w:rsid w:val="00292F0D"/>
    <w:rsid w:val="00295C06"/>
    <w:rsid w:val="00296826"/>
    <w:rsid w:val="002A1B7E"/>
    <w:rsid w:val="002A37E3"/>
    <w:rsid w:val="002A4B7F"/>
    <w:rsid w:val="002A4EA3"/>
    <w:rsid w:val="002A5B0B"/>
    <w:rsid w:val="002A6456"/>
    <w:rsid w:val="002A689E"/>
    <w:rsid w:val="002A7440"/>
    <w:rsid w:val="002B08B4"/>
    <w:rsid w:val="002B17F5"/>
    <w:rsid w:val="002B1FF0"/>
    <w:rsid w:val="002B3F6E"/>
    <w:rsid w:val="002B41E1"/>
    <w:rsid w:val="002B475F"/>
    <w:rsid w:val="002B729D"/>
    <w:rsid w:val="002C2121"/>
    <w:rsid w:val="002C22C2"/>
    <w:rsid w:val="002C360A"/>
    <w:rsid w:val="002C43A3"/>
    <w:rsid w:val="002C79C1"/>
    <w:rsid w:val="002D0DF0"/>
    <w:rsid w:val="002D116D"/>
    <w:rsid w:val="002D1AF6"/>
    <w:rsid w:val="002D1F30"/>
    <w:rsid w:val="002D2432"/>
    <w:rsid w:val="002D38FA"/>
    <w:rsid w:val="002D3E88"/>
    <w:rsid w:val="002D6593"/>
    <w:rsid w:val="002D78DB"/>
    <w:rsid w:val="002D7F5F"/>
    <w:rsid w:val="002E30FF"/>
    <w:rsid w:val="002E3CDE"/>
    <w:rsid w:val="002E7D72"/>
    <w:rsid w:val="002E7D84"/>
    <w:rsid w:val="002E7FA9"/>
    <w:rsid w:val="002F0635"/>
    <w:rsid w:val="002F1AE8"/>
    <w:rsid w:val="002F36A8"/>
    <w:rsid w:val="002F6699"/>
    <w:rsid w:val="00301F00"/>
    <w:rsid w:val="00302664"/>
    <w:rsid w:val="00302EE0"/>
    <w:rsid w:val="00302FFC"/>
    <w:rsid w:val="00304582"/>
    <w:rsid w:val="00307F47"/>
    <w:rsid w:val="0031116F"/>
    <w:rsid w:val="00311A74"/>
    <w:rsid w:val="003132C5"/>
    <w:rsid w:val="0031481F"/>
    <w:rsid w:val="00314EDF"/>
    <w:rsid w:val="00316756"/>
    <w:rsid w:val="00321201"/>
    <w:rsid w:val="0032620E"/>
    <w:rsid w:val="003274F1"/>
    <w:rsid w:val="00327BC9"/>
    <w:rsid w:val="00327E91"/>
    <w:rsid w:val="00331555"/>
    <w:rsid w:val="00332096"/>
    <w:rsid w:val="00332E01"/>
    <w:rsid w:val="003337CA"/>
    <w:rsid w:val="00334A6E"/>
    <w:rsid w:val="00335235"/>
    <w:rsid w:val="00335E34"/>
    <w:rsid w:val="003367D4"/>
    <w:rsid w:val="00343ACB"/>
    <w:rsid w:val="00343F09"/>
    <w:rsid w:val="003461D1"/>
    <w:rsid w:val="00347664"/>
    <w:rsid w:val="003507D7"/>
    <w:rsid w:val="00351FD2"/>
    <w:rsid w:val="00354230"/>
    <w:rsid w:val="00354600"/>
    <w:rsid w:val="0035622A"/>
    <w:rsid w:val="00356CCA"/>
    <w:rsid w:val="003577EA"/>
    <w:rsid w:val="00357FDA"/>
    <w:rsid w:val="0036106E"/>
    <w:rsid w:val="00361955"/>
    <w:rsid w:val="003637EC"/>
    <w:rsid w:val="00366D11"/>
    <w:rsid w:val="00366F0C"/>
    <w:rsid w:val="0036737E"/>
    <w:rsid w:val="00367A58"/>
    <w:rsid w:val="0037086B"/>
    <w:rsid w:val="003733B9"/>
    <w:rsid w:val="00373FC1"/>
    <w:rsid w:val="00375762"/>
    <w:rsid w:val="00376E59"/>
    <w:rsid w:val="00377195"/>
    <w:rsid w:val="0037761C"/>
    <w:rsid w:val="003828FB"/>
    <w:rsid w:val="00382C91"/>
    <w:rsid w:val="003870AA"/>
    <w:rsid w:val="00387FF4"/>
    <w:rsid w:val="0039247A"/>
    <w:rsid w:val="00396810"/>
    <w:rsid w:val="00397CA0"/>
    <w:rsid w:val="00397F6D"/>
    <w:rsid w:val="003A0153"/>
    <w:rsid w:val="003A01F9"/>
    <w:rsid w:val="003A1216"/>
    <w:rsid w:val="003A31EA"/>
    <w:rsid w:val="003A57F6"/>
    <w:rsid w:val="003A59A1"/>
    <w:rsid w:val="003A5DC9"/>
    <w:rsid w:val="003B11FF"/>
    <w:rsid w:val="003B1614"/>
    <w:rsid w:val="003B1849"/>
    <w:rsid w:val="003B29F4"/>
    <w:rsid w:val="003B441D"/>
    <w:rsid w:val="003B4458"/>
    <w:rsid w:val="003B58F7"/>
    <w:rsid w:val="003B5ED9"/>
    <w:rsid w:val="003B6BA0"/>
    <w:rsid w:val="003B7AB3"/>
    <w:rsid w:val="003C0A53"/>
    <w:rsid w:val="003C2422"/>
    <w:rsid w:val="003C2D27"/>
    <w:rsid w:val="003C3B46"/>
    <w:rsid w:val="003C64B2"/>
    <w:rsid w:val="003C7BA3"/>
    <w:rsid w:val="003C7F7F"/>
    <w:rsid w:val="003D2DBB"/>
    <w:rsid w:val="003D380F"/>
    <w:rsid w:val="003D5653"/>
    <w:rsid w:val="003D5982"/>
    <w:rsid w:val="003D5A2C"/>
    <w:rsid w:val="003D6C06"/>
    <w:rsid w:val="003E024E"/>
    <w:rsid w:val="003E07FE"/>
    <w:rsid w:val="003E118A"/>
    <w:rsid w:val="003E37A4"/>
    <w:rsid w:val="003E4DBB"/>
    <w:rsid w:val="003F078B"/>
    <w:rsid w:val="003F18F6"/>
    <w:rsid w:val="003F1CD5"/>
    <w:rsid w:val="003F2557"/>
    <w:rsid w:val="003F411A"/>
    <w:rsid w:val="003F5C8F"/>
    <w:rsid w:val="004002FE"/>
    <w:rsid w:val="00400E66"/>
    <w:rsid w:val="00400FA6"/>
    <w:rsid w:val="004058F4"/>
    <w:rsid w:val="0040642C"/>
    <w:rsid w:val="0040669D"/>
    <w:rsid w:val="00406F5C"/>
    <w:rsid w:val="00406F81"/>
    <w:rsid w:val="00410439"/>
    <w:rsid w:val="00413AB6"/>
    <w:rsid w:val="00420887"/>
    <w:rsid w:val="00421CFD"/>
    <w:rsid w:val="00421E34"/>
    <w:rsid w:val="00422809"/>
    <w:rsid w:val="004237EC"/>
    <w:rsid w:val="00423E5F"/>
    <w:rsid w:val="0042565E"/>
    <w:rsid w:val="00426036"/>
    <w:rsid w:val="00431410"/>
    <w:rsid w:val="0043248B"/>
    <w:rsid w:val="00434D2A"/>
    <w:rsid w:val="0043611F"/>
    <w:rsid w:val="00437CE8"/>
    <w:rsid w:val="0044429D"/>
    <w:rsid w:val="00444563"/>
    <w:rsid w:val="0044633E"/>
    <w:rsid w:val="004521DF"/>
    <w:rsid w:val="00452E5A"/>
    <w:rsid w:val="00455405"/>
    <w:rsid w:val="00456262"/>
    <w:rsid w:val="0045654F"/>
    <w:rsid w:val="00461713"/>
    <w:rsid w:val="004628C8"/>
    <w:rsid w:val="00464819"/>
    <w:rsid w:val="00465458"/>
    <w:rsid w:val="004670CC"/>
    <w:rsid w:val="0047136F"/>
    <w:rsid w:val="00473840"/>
    <w:rsid w:val="00474088"/>
    <w:rsid w:val="0047413D"/>
    <w:rsid w:val="004743CD"/>
    <w:rsid w:val="004752A9"/>
    <w:rsid w:val="004829A7"/>
    <w:rsid w:val="00482C88"/>
    <w:rsid w:val="00483C2E"/>
    <w:rsid w:val="00484B90"/>
    <w:rsid w:val="00485229"/>
    <w:rsid w:val="004871C5"/>
    <w:rsid w:val="00490D2A"/>
    <w:rsid w:val="0049651A"/>
    <w:rsid w:val="004967A7"/>
    <w:rsid w:val="004967DC"/>
    <w:rsid w:val="00497120"/>
    <w:rsid w:val="00497AE3"/>
    <w:rsid w:val="004A3041"/>
    <w:rsid w:val="004A37E7"/>
    <w:rsid w:val="004A4E14"/>
    <w:rsid w:val="004A4EC2"/>
    <w:rsid w:val="004A5215"/>
    <w:rsid w:val="004A6727"/>
    <w:rsid w:val="004A6788"/>
    <w:rsid w:val="004A7CD5"/>
    <w:rsid w:val="004B400C"/>
    <w:rsid w:val="004B4CB3"/>
    <w:rsid w:val="004C2EDB"/>
    <w:rsid w:val="004C2F65"/>
    <w:rsid w:val="004C49D6"/>
    <w:rsid w:val="004C5143"/>
    <w:rsid w:val="004C6837"/>
    <w:rsid w:val="004C7818"/>
    <w:rsid w:val="004C7A6D"/>
    <w:rsid w:val="004D1DD8"/>
    <w:rsid w:val="004D216D"/>
    <w:rsid w:val="004D3D54"/>
    <w:rsid w:val="004D4EAE"/>
    <w:rsid w:val="004D5062"/>
    <w:rsid w:val="004D5479"/>
    <w:rsid w:val="004E2373"/>
    <w:rsid w:val="004E3B9E"/>
    <w:rsid w:val="004E3BD3"/>
    <w:rsid w:val="004E63CD"/>
    <w:rsid w:val="004E6838"/>
    <w:rsid w:val="004E6EE1"/>
    <w:rsid w:val="004F00BB"/>
    <w:rsid w:val="004F1617"/>
    <w:rsid w:val="004F1D24"/>
    <w:rsid w:val="004F2973"/>
    <w:rsid w:val="004F39B1"/>
    <w:rsid w:val="004F40C4"/>
    <w:rsid w:val="004F74DA"/>
    <w:rsid w:val="005027B7"/>
    <w:rsid w:val="00503CE4"/>
    <w:rsid w:val="005053ED"/>
    <w:rsid w:val="0050659F"/>
    <w:rsid w:val="00513161"/>
    <w:rsid w:val="005176E3"/>
    <w:rsid w:val="00521159"/>
    <w:rsid w:val="005223B4"/>
    <w:rsid w:val="005223BC"/>
    <w:rsid w:val="005245A3"/>
    <w:rsid w:val="00525C75"/>
    <w:rsid w:val="00527917"/>
    <w:rsid w:val="00527A93"/>
    <w:rsid w:val="00531E30"/>
    <w:rsid w:val="00532D09"/>
    <w:rsid w:val="00536812"/>
    <w:rsid w:val="00537BA7"/>
    <w:rsid w:val="00540463"/>
    <w:rsid w:val="0054081C"/>
    <w:rsid w:val="00540CDF"/>
    <w:rsid w:val="00542762"/>
    <w:rsid w:val="00543370"/>
    <w:rsid w:val="00544E0D"/>
    <w:rsid w:val="00545E1F"/>
    <w:rsid w:val="005465B5"/>
    <w:rsid w:val="00547517"/>
    <w:rsid w:val="005475F8"/>
    <w:rsid w:val="005523A6"/>
    <w:rsid w:val="00552647"/>
    <w:rsid w:val="0055372E"/>
    <w:rsid w:val="00555302"/>
    <w:rsid w:val="00555C31"/>
    <w:rsid w:val="00556D35"/>
    <w:rsid w:val="00560A87"/>
    <w:rsid w:val="00562031"/>
    <w:rsid w:val="00562CC3"/>
    <w:rsid w:val="00563081"/>
    <w:rsid w:val="00563874"/>
    <w:rsid w:val="00565AF8"/>
    <w:rsid w:val="00566519"/>
    <w:rsid w:val="0056746C"/>
    <w:rsid w:val="005674B3"/>
    <w:rsid w:val="00567AE1"/>
    <w:rsid w:val="00570287"/>
    <w:rsid w:val="00570DC3"/>
    <w:rsid w:val="00571083"/>
    <w:rsid w:val="00571A89"/>
    <w:rsid w:val="0057201E"/>
    <w:rsid w:val="005724AF"/>
    <w:rsid w:val="00575397"/>
    <w:rsid w:val="00577C25"/>
    <w:rsid w:val="005802FC"/>
    <w:rsid w:val="00580DAF"/>
    <w:rsid w:val="0058171E"/>
    <w:rsid w:val="0058273B"/>
    <w:rsid w:val="00584033"/>
    <w:rsid w:val="005844E9"/>
    <w:rsid w:val="00585E66"/>
    <w:rsid w:val="0058666C"/>
    <w:rsid w:val="005872CB"/>
    <w:rsid w:val="00590DA2"/>
    <w:rsid w:val="00591169"/>
    <w:rsid w:val="005929ED"/>
    <w:rsid w:val="00593ABE"/>
    <w:rsid w:val="00595195"/>
    <w:rsid w:val="00596C45"/>
    <w:rsid w:val="005970E0"/>
    <w:rsid w:val="00597673"/>
    <w:rsid w:val="005A1ED5"/>
    <w:rsid w:val="005A4D5E"/>
    <w:rsid w:val="005A55DF"/>
    <w:rsid w:val="005B006F"/>
    <w:rsid w:val="005B23BD"/>
    <w:rsid w:val="005B3EC3"/>
    <w:rsid w:val="005B4C35"/>
    <w:rsid w:val="005B59CE"/>
    <w:rsid w:val="005B7782"/>
    <w:rsid w:val="005B7D47"/>
    <w:rsid w:val="005C12BE"/>
    <w:rsid w:val="005C191A"/>
    <w:rsid w:val="005C1C89"/>
    <w:rsid w:val="005C1FE4"/>
    <w:rsid w:val="005C38BD"/>
    <w:rsid w:val="005C3B73"/>
    <w:rsid w:val="005C3EEC"/>
    <w:rsid w:val="005C6006"/>
    <w:rsid w:val="005D0A94"/>
    <w:rsid w:val="005D1864"/>
    <w:rsid w:val="005D4B5F"/>
    <w:rsid w:val="005D5317"/>
    <w:rsid w:val="005E0C50"/>
    <w:rsid w:val="005E43EA"/>
    <w:rsid w:val="005E5139"/>
    <w:rsid w:val="005E6E92"/>
    <w:rsid w:val="005F0802"/>
    <w:rsid w:val="005F1493"/>
    <w:rsid w:val="005F27E6"/>
    <w:rsid w:val="005F44FB"/>
    <w:rsid w:val="005F4CA6"/>
    <w:rsid w:val="005F6A85"/>
    <w:rsid w:val="00600449"/>
    <w:rsid w:val="00604B9A"/>
    <w:rsid w:val="00604C1C"/>
    <w:rsid w:val="0060606F"/>
    <w:rsid w:val="006075EB"/>
    <w:rsid w:val="00607655"/>
    <w:rsid w:val="00607D08"/>
    <w:rsid w:val="00610702"/>
    <w:rsid w:val="00611036"/>
    <w:rsid w:val="00612E9E"/>
    <w:rsid w:val="00614235"/>
    <w:rsid w:val="00614C31"/>
    <w:rsid w:val="00615A62"/>
    <w:rsid w:val="00616B5F"/>
    <w:rsid w:val="00621429"/>
    <w:rsid w:val="00623D7B"/>
    <w:rsid w:val="00625B8D"/>
    <w:rsid w:val="00626BF7"/>
    <w:rsid w:val="00626F48"/>
    <w:rsid w:val="00627C69"/>
    <w:rsid w:val="006305E7"/>
    <w:rsid w:val="0063264D"/>
    <w:rsid w:val="00636293"/>
    <w:rsid w:val="0064050C"/>
    <w:rsid w:val="00640741"/>
    <w:rsid w:val="00641BB4"/>
    <w:rsid w:val="00643617"/>
    <w:rsid w:val="00644499"/>
    <w:rsid w:val="00647241"/>
    <w:rsid w:val="00651B95"/>
    <w:rsid w:val="006529A8"/>
    <w:rsid w:val="0065363C"/>
    <w:rsid w:val="006552CB"/>
    <w:rsid w:val="00655E86"/>
    <w:rsid w:val="00656FA7"/>
    <w:rsid w:val="00663EAC"/>
    <w:rsid w:val="00664E05"/>
    <w:rsid w:val="00665AB9"/>
    <w:rsid w:val="006662D1"/>
    <w:rsid w:val="00671312"/>
    <w:rsid w:val="0067152B"/>
    <w:rsid w:val="0067243A"/>
    <w:rsid w:val="00672A5A"/>
    <w:rsid w:val="00673412"/>
    <w:rsid w:val="006746C9"/>
    <w:rsid w:val="00674A3D"/>
    <w:rsid w:val="00675C53"/>
    <w:rsid w:val="00676AFA"/>
    <w:rsid w:val="006775B2"/>
    <w:rsid w:val="006803D6"/>
    <w:rsid w:val="006803EA"/>
    <w:rsid w:val="00681A51"/>
    <w:rsid w:val="00682DAB"/>
    <w:rsid w:val="00685C9E"/>
    <w:rsid w:val="00687744"/>
    <w:rsid w:val="006920CE"/>
    <w:rsid w:val="00695E46"/>
    <w:rsid w:val="00695EBA"/>
    <w:rsid w:val="006A1AA6"/>
    <w:rsid w:val="006A24CE"/>
    <w:rsid w:val="006A3F7D"/>
    <w:rsid w:val="006A45F3"/>
    <w:rsid w:val="006A5C94"/>
    <w:rsid w:val="006A6CD0"/>
    <w:rsid w:val="006A6D09"/>
    <w:rsid w:val="006A78D1"/>
    <w:rsid w:val="006A7B6D"/>
    <w:rsid w:val="006B23F6"/>
    <w:rsid w:val="006B2515"/>
    <w:rsid w:val="006B77C8"/>
    <w:rsid w:val="006C31C0"/>
    <w:rsid w:val="006C4481"/>
    <w:rsid w:val="006C49B3"/>
    <w:rsid w:val="006C4DFF"/>
    <w:rsid w:val="006C7F4E"/>
    <w:rsid w:val="006D16FF"/>
    <w:rsid w:val="006D2281"/>
    <w:rsid w:val="006D433F"/>
    <w:rsid w:val="006D4FBC"/>
    <w:rsid w:val="006E0526"/>
    <w:rsid w:val="006E0798"/>
    <w:rsid w:val="006E4B79"/>
    <w:rsid w:val="006E5A5A"/>
    <w:rsid w:val="006E6215"/>
    <w:rsid w:val="006E674C"/>
    <w:rsid w:val="006F3378"/>
    <w:rsid w:val="006F354A"/>
    <w:rsid w:val="006F76FE"/>
    <w:rsid w:val="00703656"/>
    <w:rsid w:val="0070512C"/>
    <w:rsid w:val="007066D0"/>
    <w:rsid w:val="00706A9E"/>
    <w:rsid w:val="00706F02"/>
    <w:rsid w:val="007071D3"/>
    <w:rsid w:val="00707420"/>
    <w:rsid w:val="0071059A"/>
    <w:rsid w:val="007147BA"/>
    <w:rsid w:val="0071674A"/>
    <w:rsid w:val="00717999"/>
    <w:rsid w:val="00717D7C"/>
    <w:rsid w:val="00721824"/>
    <w:rsid w:val="0072260F"/>
    <w:rsid w:val="00724907"/>
    <w:rsid w:val="00725D62"/>
    <w:rsid w:val="00726970"/>
    <w:rsid w:val="00726D83"/>
    <w:rsid w:val="00730376"/>
    <w:rsid w:val="007314F4"/>
    <w:rsid w:val="00732045"/>
    <w:rsid w:val="00732380"/>
    <w:rsid w:val="0073421E"/>
    <w:rsid w:val="00734C5D"/>
    <w:rsid w:val="00735767"/>
    <w:rsid w:val="007357BC"/>
    <w:rsid w:val="00735893"/>
    <w:rsid w:val="007404FB"/>
    <w:rsid w:val="00743FF1"/>
    <w:rsid w:val="00745661"/>
    <w:rsid w:val="00750857"/>
    <w:rsid w:val="007508A3"/>
    <w:rsid w:val="00754401"/>
    <w:rsid w:val="00754653"/>
    <w:rsid w:val="00757010"/>
    <w:rsid w:val="00757FA1"/>
    <w:rsid w:val="0076002B"/>
    <w:rsid w:val="007626FF"/>
    <w:rsid w:val="007635E1"/>
    <w:rsid w:val="00763600"/>
    <w:rsid w:val="00763975"/>
    <w:rsid w:val="0076446E"/>
    <w:rsid w:val="0076496E"/>
    <w:rsid w:val="007715EF"/>
    <w:rsid w:val="0077386C"/>
    <w:rsid w:val="00774438"/>
    <w:rsid w:val="00774DF7"/>
    <w:rsid w:val="00775609"/>
    <w:rsid w:val="00776207"/>
    <w:rsid w:val="007817A2"/>
    <w:rsid w:val="00782214"/>
    <w:rsid w:val="00782548"/>
    <w:rsid w:val="00783F77"/>
    <w:rsid w:val="00784F74"/>
    <w:rsid w:val="00785EC7"/>
    <w:rsid w:val="00787F4E"/>
    <w:rsid w:val="00791BDB"/>
    <w:rsid w:val="00795460"/>
    <w:rsid w:val="00795BA0"/>
    <w:rsid w:val="00796DF0"/>
    <w:rsid w:val="00797983"/>
    <w:rsid w:val="00797DBF"/>
    <w:rsid w:val="007A0196"/>
    <w:rsid w:val="007A087B"/>
    <w:rsid w:val="007A096C"/>
    <w:rsid w:val="007A4A12"/>
    <w:rsid w:val="007A5531"/>
    <w:rsid w:val="007A5AE8"/>
    <w:rsid w:val="007A6C94"/>
    <w:rsid w:val="007B35F0"/>
    <w:rsid w:val="007B3917"/>
    <w:rsid w:val="007B4187"/>
    <w:rsid w:val="007B42D8"/>
    <w:rsid w:val="007B6EC0"/>
    <w:rsid w:val="007B7311"/>
    <w:rsid w:val="007C0113"/>
    <w:rsid w:val="007C3403"/>
    <w:rsid w:val="007C3DC1"/>
    <w:rsid w:val="007C74DD"/>
    <w:rsid w:val="007D105F"/>
    <w:rsid w:val="007D1F98"/>
    <w:rsid w:val="007D577E"/>
    <w:rsid w:val="007D6B54"/>
    <w:rsid w:val="007D6C58"/>
    <w:rsid w:val="007D772D"/>
    <w:rsid w:val="007E0F09"/>
    <w:rsid w:val="007E28A5"/>
    <w:rsid w:val="007E3440"/>
    <w:rsid w:val="007E4CE4"/>
    <w:rsid w:val="007E5066"/>
    <w:rsid w:val="007E609B"/>
    <w:rsid w:val="007E6C4A"/>
    <w:rsid w:val="007E6EB7"/>
    <w:rsid w:val="007E7255"/>
    <w:rsid w:val="007E7684"/>
    <w:rsid w:val="007F1369"/>
    <w:rsid w:val="007F2B74"/>
    <w:rsid w:val="007F37F5"/>
    <w:rsid w:val="007F4DC6"/>
    <w:rsid w:val="007F7AA3"/>
    <w:rsid w:val="00801E4D"/>
    <w:rsid w:val="00802C74"/>
    <w:rsid w:val="00803958"/>
    <w:rsid w:val="00803FDD"/>
    <w:rsid w:val="008044F9"/>
    <w:rsid w:val="0080482B"/>
    <w:rsid w:val="00804F28"/>
    <w:rsid w:val="00805124"/>
    <w:rsid w:val="0080561C"/>
    <w:rsid w:val="00805955"/>
    <w:rsid w:val="00805D28"/>
    <w:rsid w:val="0081051F"/>
    <w:rsid w:val="00810B9F"/>
    <w:rsid w:val="008119A3"/>
    <w:rsid w:val="00812EEF"/>
    <w:rsid w:val="00813DBF"/>
    <w:rsid w:val="00815311"/>
    <w:rsid w:val="008153EB"/>
    <w:rsid w:val="008167C5"/>
    <w:rsid w:val="008204CB"/>
    <w:rsid w:val="008211AF"/>
    <w:rsid w:val="008235F5"/>
    <w:rsid w:val="0082431D"/>
    <w:rsid w:val="008261E7"/>
    <w:rsid w:val="00827007"/>
    <w:rsid w:val="00830665"/>
    <w:rsid w:val="0083304D"/>
    <w:rsid w:val="00833B53"/>
    <w:rsid w:val="00833FB2"/>
    <w:rsid w:val="00836A97"/>
    <w:rsid w:val="00841F19"/>
    <w:rsid w:val="008433DB"/>
    <w:rsid w:val="008442C2"/>
    <w:rsid w:val="00846CFD"/>
    <w:rsid w:val="008474C7"/>
    <w:rsid w:val="00847F7A"/>
    <w:rsid w:val="008504E9"/>
    <w:rsid w:val="00851B1A"/>
    <w:rsid w:val="008543B2"/>
    <w:rsid w:val="00855DB5"/>
    <w:rsid w:val="00862AA2"/>
    <w:rsid w:val="00862B15"/>
    <w:rsid w:val="00862E79"/>
    <w:rsid w:val="008633E0"/>
    <w:rsid w:val="00864A82"/>
    <w:rsid w:val="00865294"/>
    <w:rsid w:val="008718C6"/>
    <w:rsid w:val="008723CF"/>
    <w:rsid w:val="0087441C"/>
    <w:rsid w:val="00874DF2"/>
    <w:rsid w:val="00875302"/>
    <w:rsid w:val="00875B13"/>
    <w:rsid w:val="0087619A"/>
    <w:rsid w:val="00876241"/>
    <w:rsid w:val="00880A29"/>
    <w:rsid w:val="0088124D"/>
    <w:rsid w:val="0088130E"/>
    <w:rsid w:val="00882505"/>
    <w:rsid w:val="00882580"/>
    <w:rsid w:val="00882AD8"/>
    <w:rsid w:val="00883B42"/>
    <w:rsid w:val="00883C39"/>
    <w:rsid w:val="00883CD8"/>
    <w:rsid w:val="00884187"/>
    <w:rsid w:val="00884A51"/>
    <w:rsid w:val="00885798"/>
    <w:rsid w:val="00885BFF"/>
    <w:rsid w:val="00887008"/>
    <w:rsid w:val="00890C31"/>
    <w:rsid w:val="008910AA"/>
    <w:rsid w:val="00891DA2"/>
    <w:rsid w:val="00892558"/>
    <w:rsid w:val="00893D6A"/>
    <w:rsid w:val="00894B41"/>
    <w:rsid w:val="00895109"/>
    <w:rsid w:val="00896025"/>
    <w:rsid w:val="00897A2E"/>
    <w:rsid w:val="00897FDA"/>
    <w:rsid w:val="008A1B48"/>
    <w:rsid w:val="008A2F61"/>
    <w:rsid w:val="008A3024"/>
    <w:rsid w:val="008A3F8B"/>
    <w:rsid w:val="008A6BC6"/>
    <w:rsid w:val="008A761F"/>
    <w:rsid w:val="008B154E"/>
    <w:rsid w:val="008B33EA"/>
    <w:rsid w:val="008B4C71"/>
    <w:rsid w:val="008B55DE"/>
    <w:rsid w:val="008B5F20"/>
    <w:rsid w:val="008B5F89"/>
    <w:rsid w:val="008B6A84"/>
    <w:rsid w:val="008B7B86"/>
    <w:rsid w:val="008C1435"/>
    <w:rsid w:val="008D0D84"/>
    <w:rsid w:val="008D4C3B"/>
    <w:rsid w:val="008D5A4B"/>
    <w:rsid w:val="008D5C7F"/>
    <w:rsid w:val="008D7F56"/>
    <w:rsid w:val="008E214C"/>
    <w:rsid w:val="008E31A8"/>
    <w:rsid w:val="008E370C"/>
    <w:rsid w:val="008E4359"/>
    <w:rsid w:val="008E552F"/>
    <w:rsid w:val="008E70A2"/>
    <w:rsid w:val="008E73C5"/>
    <w:rsid w:val="008E7646"/>
    <w:rsid w:val="008F499F"/>
    <w:rsid w:val="008F4F61"/>
    <w:rsid w:val="008F6245"/>
    <w:rsid w:val="008F75E7"/>
    <w:rsid w:val="00900D79"/>
    <w:rsid w:val="009028DF"/>
    <w:rsid w:val="00902ACD"/>
    <w:rsid w:val="009031A4"/>
    <w:rsid w:val="009038AA"/>
    <w:rsid w:val="00904D91"/>
    <w:rsid w:val="00904F5E"/>
    <w:rsid w:val="0090725F"/>
    <w:rsid w:val="00907B96"/>
    <w:rsid w:val="00907E9D"/>
    <w:rsid w:val="009109B7"/>
    <w:rsid w:val="00912601"/>
    <w:rsid w:val="00912E13"/>
    <w:rsid w:val="0091456F"/>
    <w:rsid w:val="009148F0"/>
    <w:rsid w:val="0091529E"/>
    <w:rsid w:val="00920745"/>
    <w:rsid w:val="00921545"/>
    <w:rsid w:val="009215F1"/>
    <w:rsid w:val="00922C75"/>
    <w:rsid w:val="00922E7E"/>
    <w:rsid w:val="0092369C"/>
    <w:rsid w:val="0092438E"/>
    <w:rsid w:val="00926DE1"/>
    <w:rsid w:val="00930D2C"/>
    <w:rsid w:val="00931A0F"/>
    <w:rsid w:val="0093251A"/>
    <w:rsid w:val="009352B1"/>
    <w:rsid w:val="00935D78"/>
    <w:rsid w:val="00936871"/>
    <w:rsid w:val="0094204B"/>
    <w:rsid w:val="00951E33"/>
    <w:rsid w:val="00954E10"/>
    <w:rsid w:val="00954F00"/>
    <w:rsid w:val="00955407"/>
    <w:rsid w:val="00956E8F"/>
    <w:rsid w:val="00957AAE"/>
    <w:rsid w:val="00957F8B"/>
    <w:rsid w:val="00960094"/>
    <w:rsid w:val="00963FEB"/>
    <w:rsid w:val="00964C0A"/>
    <w:rsid w:val="00965C7A"/>
    <w:rsid w:val="0096759D"/>
    <w:rsid w:val="00970088"/>
    <w:rsid w:val="009763E2"/>
    <w:rsid w:val="0097733D"/>
    <w:rsid w:val="009834F9"/>
    <w:rsid w:val="00984E7B"/>
    <w:rsid w:val="00985320"/>
    <w:rsid w:val="00985EF6"/>
    <w:rsid w:val="00986E52"/>
    <w:rsid w:val="009900D0"/>
    <w:rsid w:val="009935BB"/>
    <w:rsid w:val="00994A7D"/>
    <w:rsid w:val="009966C9"/>
    <w:rsid w:val="00997786"/>
    <w:rsid w:val="009A17C0"/>
    <w:rsid w:val="009A2F1E"/>
    <w:rsid w:val="009A453C"/>
    <w:rsid w:val="009A4572"/>
    <w:rsid w:val="009A4B3E"/>
    <w:rsid w:val="009B09D5"/>
    <w:rsid w:val="009B456B"/>
    <w:rsid w:val="009B4C0B"/>
    <w:rsid w:val="009B5406"/>
    <w:rsid w:val="009B7675"/>
    <w:rsid w:val="009C2065"/>
    <w:rsid w:val="009C2D35"/>
    <w:rsid w:val="009C2E8E"/>
    <w:rsid w:val="009C4441"/>
    <w:rsid w:val="009C5D71"/>
    <w:rsid w:val="009C6248"/>
    <w:rsid w:val="009C7F6F"/>
    <w:rsid w:val="009D08AB"/>
    <w:rsid w:val="009D192F"/>
    <w:rsid w:val="009D6006"/>
    <w:rsid w:val="009D69A0"/>
    <w:rsid w:val="009D7462"/>
    <w:rsid w:val="009E161F"/>
    <w:rsid w:val="009E2114"/>
    <w:rsid w:val="009E3FD0"/>
    <w:rsid w:val="009E4008"/>
    <w:rsid w:val="009E4761"/>
    <w:rsid w:val="009E6198"/>
    <w:rsid w:val="009E6FF2"/>
    <w:rsid w:val="009F0162"/>
    <w:rsid w:val="009F0FDC"/>
    <w:rsid w:val="009F1274"/>
    <w:rsid w:val="009F2009"/>
    <w:rsid w:val="00A00C51"/>
    <w:rsid w:val="00A00D1B"/>
    <w:rsid w:val="00A01711"/>
    <w:rsid w:val="00A022CF"/>
    <w:rsid w:val="00A02381"/>
    <w:rsid w:val="00A065A6"/>
    <w:rsid w:val="00A1018A"/>
    <w:rsid w:val="00A12666"/>
    <w:rsid w:val="00A1560F"/>
    <w:rsid w:val="00A1596F"/>
    <w:rsid w:val="00A17709"/>
    <w:rsid w:val="00A22517"/>
    <w:rsid w:val="00A22B4A"/>
    <w:rsid w:val="00A24484"/>
    <w:rsid w:val="00A263C3"/>
    <w:rsid w:val="00A26C5B"/>
    <w:rsid w:val="00A26FC5"/>
    <w:rsid w:val="00A27730"/>
    <w:rsid w:val="00A27F4C"/>
    <w:rsid w:val="00A30909"/>
    <w:rsid w:val="00A31E96"/>
    <w:rsid w:val="00A32317"/>
    <w:rsid w:val="00A326A3"/>
    <w:rsid w:val="00A32808"/>
    <w:rsid w:val="00A359EB"/>
    <w:rsid w:val="00A35F27"/>
    <w:rsid w:val="00A35F89"/>
    <w:rsid w:val="00A36D7C"/>
    <w:rsid w:val="00A40146"/>
    <w:rsid w:val="00A40329"/>
    <w:rsid w:val="00A403A4"/>
    <w:rsid w:val="00A40B0F"/>
    <w:rsid w:val="00A40EB2"/>
    <w:rsid w:val="00A41A10"/>
    <w:rsid w:val="00A427FD"/>
    <w:rsid w:val="00A51AE5"/>
    <w:rsid w:val="00A51C7A"/>
    <w:rsid w:val="00A53955"/>
    <w:rsid w:val="00A5532A"/>
    <w:rsid w:val="00A56C1C"/>
    <w:rsid w:val="00A570F1"/>
    <w:rsid w:val="00A57E6A"/>
    <w:rsid w:val="00A60EDE"/>
    <w:rsid w:val="00A610F3"/>
    <w:rsid w:val="00A62C8D"/>
    <w:rsid w:val="00A631E9"/>
    <w:rsid w:val="00A6378A"/>
    <w:rsid w:val="00A66638"/>
    <w:rsid w:val="00A674C3"/>
    <w:rsid w:val="00A67FE2"/>
    <w:rsid w:val="00A7189B"/>
    <w:rsid w:val="00A766B4"/>
    <w:rsid w:val="00A76FE7"/>
    <w:rsid w:val="00A77645"/>
    <w:rsid w:val="00A800C1"/>
    <w:rsid w:val="00A80CB2"/>
    <w:rsid w:val="00A83BCF"/>
    <w:rsid w:val="00A8402D"/>
    <w:rsid w:val="00A842EA"/>
    <w:rsid w:val="00A8661B"/>
    <w:rsid w:val="00A97363"/>
    <w:rsid w:val="00A9752A"/>
    <w:rsid w:val="00A97AAC"/>
    <w:rsid w:val="00AA5255"/>
    <w:rsid w:val="00AA6C33"/>
    <w:rsid w:val="00AB3845"/>
    <w:rsid w:val="00AB48FE"/>
    <w:rsid w:val="00AB706D"/>
    <w:rsid w:val="00AB7731"/>
    <w:rsid w:val="00AB77FC"/>
    <w:rsid w:val="00AB7B03"/>
    <w:rsid w:val="00AC16DF"/>
    <w:rsid w:val="00AC23E9"/>
    <w:rsid w:val="00AC3CAE"/>
    <w:rsid w:val="00AC43BD"/>
    <w:rsid w:val="00AC45E1"/>
    <w:rsid w:val="00AC577E"/>
    <w:rsid w:val="00AD3358"/>
    <w:rsid w:val="00AD4CCC"/>
    <w:rsid w:val="00AD7CAD"/>
    <w:rsid w:val="00AE1067"/>
    <w:rsid w:val="00AE3132"/>
    <w:rsid w:val="00AE3F99"/>
    <w:rsid w:val="00AE5CF7"/>
    <w:rsid w:val="00AE6C39"/>
    <w:rsid w:val="00AE7D81"/>
    <w:rsid w:val="00AF1DEA"/>
    <w:rsid w:val="00AF23E4"/>
    <w:rsid w:val="00AF28C7"/>
    <w:rsid w:val="00AF33F2"/>
    <w:rsid w:val="00AF474F"/>
    <w:rsid w:val="00AF76B7"/>
    <w:rsid w:val="00B0017C"/>
    <w:rsid w:val="00B00D5E"/>
    <w:rsid w:val="00B00F4F"/>
    <w:rsid w:val="00B015F4"/>
    <w:rsid w:val="00B01793"/>
    <w:rsid w:val="00B021A4"/>
    <w:rsid w:val="00B02A21"/>
    <w:rsid w:val="00B02D30"/>
    <w:rsid w:val="00B10C9E"/>
    <w:rsid w:val="00B119FC"/>
    <w:rsid w:val="00B12556"/>
    <w:rsid w:val="00B14001"/>
    <w:rsid w:val="00B140A6"/>
    <w:rsid w:val="00B14618"/>
    <w:rsid w:val="00B14B51"/>
    <w:rsid w:val="00B15246"/>
    <w:rsid w:val="00B178A8"/>
    <w:rsid w:val="00B17CF4"/>
    <w:rsid w:val="00B214B9"/>
    <w:rsid w:val="00B21929"/>
    <w:rsid w:val="00B21BD2"/>
    <w:rsid w:val="00B21DB7"/>
    <w:rsid w:val="00B24FEA"/>
    <w:rsid w:val="00B25820"/>
    <w:rsid w:val="00B26905"/>
    <w:rsid w:val="00B270C0"/>
    <w:rsid w:val="00B27A4D"/>
    <w:rsid w:val="00B309E8"/>
    <w:rsid w:val="00B30F79"/>
    <w:rsid w:val="00B3502C"/>
    <w:rsid w:val="00B35E53"/>
    <w:rsid w:val="00B413B3"/>
    <w:rsid w:val="00B429D7"/>
    <w:rsid w:val="00B44E41"/>
    <w:rsid w:val="00B47D40"/>
    <w:rsid w:val="00B506A6"/>
    <w:rsid w:val="00B5101F"/>
    <w:rsid w:val="00B53496"/>
    <w:rsid w:val="00B54F96"/>
    <w:rsid w:val="00B5504E"/>
    <w:rsid w:val="00B55E3E"/>
    <w:rsid w:val="00B56738"/>
    <w:rsid w:val="00B62A86"/>
    <w:rsid w:val="00B63501"/>
    <w:rsid w:val="00B67E7A"/>
    <w:rsid w:val="00B710E1"/>
    <w:rsid w:val="00B72649"/>
    <w:rsid w:val="00B736A6"/>
    <w:rsid w:val="00B74107"/>
    <w:rsid w:val="00B77654"/>
    <w:rsid w:val="00B8142F"/>
    <w:rsid w:val="00B8157E"/>
    <w:rsid w:val="00B81CA3"/>
    <w:rsid w:val="00B81E20"/>
    <w:rsid w:val="00B837F0"/>
    <w:rsid w:val="00B90B57"/>
    <w:rsid w:val="00B91C55"/>
    <w:rsid w:val="00B92739"/>
    <w:rsid w:val="00B92EEC"/>
    <w:rsid w:val="00B93854"/>
    <w:rsid w:val="00B940F7"/>
    <w:rsid w:val="00B941AF"/>
    <w:rsid w:val="00B97EB5"/>
    <w:rsid w:val="00BA3272"/>
    <w:rsid w:val="00BA3648"/>
    <w:rsid w:val="00BA6CD1"/>
    <w:rsid w:val="00BB0BA3"/>
    <w:rsid w:val="00BB1763"/>
    <w:rsid w:val="00BB4524"/>
    <w:rsid w:val="00BB4E10"/>
    <w:rsid w:val="00BB50FC"/>
    <w:rsid w:val="00BB571D"/>
    <w:rsid w:val="00BB75FD"/>
    <w:rsid w:val="00BC0390"/>
    <w:rsid w:val="00BC2ABF"/>
    <w:rsid w:val="00BC2B01"/>
    <w:rsid w:val="00BC4E34"/>
    <w:rsid w:val="00BC54F4"/>
    <w:rsid w:val="00BD1DFF"/>
    <w:rsid w:val="00BD55CC"/>
    <w:rsid w:val="00BD5B17"/>
    <w:rsid w:val="00BD5C26"/>
    <w:rsid w:val="00BD70B7"/>
    <w:rsid w:val="00BD7D81"/>
    <w:rsid w:val="00BE0A26"/>
    <w:rsid w:val="00BE3DEC"/>
    <w:rsid w:val="00BE525E"/>
    <w:rsid w:val="00BE6644"/>
    <w:rsid w:val="00BE6795"/>
    <w:rsid w:val="00BE7CC5"/>
    <w:rsid w:val="00BF00EB"/>
    <w:rsid w:val="00BF048E"/>
    <w:rsid w:val="00BF31D4"/>
    <w:rsid w:val="00BF381A"/>
    <w:rsid w:val="00BF424C"/>
    <w:rsid w:val="00BF43DA"/>
    <w:rsid w:val="00BF4C1C"/>
    <w:rsid w:val="00BF5B71"/>
    <w:rsid w:val="00BF6FC7"/>
    <w:rsid w:val="00BF75A1"/>
    <w:rsid w:val="00BF7731"/>
    <w:rsid w:val="00BF7EDC"/>
    <w:rsid w:val="00C02B3A"/>
    <w:rsid w:val="00C03F6F"/>
    <w:rsid w:val="00C04763"/>
    <w:rsid w:val="00C048F5"/>
    <w:rsid w:val="00C053CE"/>
    <w:rsid w:val="00C0587D"/>
    <w:rsid w:val="00C067DC"/>
    <w:rsid w:val="00C070A8"/>
    <w:rsid w:val="00C10D39"/>
    <w:rsid w:val="00C12C69"/>
    <w:rsid w:val="00C12D61"/>
    <w:rsid w:val="00C14755"/>
    <w:rsid w:val="00C14BD4"/>
    <w:rsid w:val="00C20350"/>
    <w:rsid w:val="00C21275"/>
    <w:rsid w:val="00C24712"/>
    <w:rsid w:val="00C249E1"/>
    <w:rsid w:val="00C25760"/>
    <w:rsid w:val="00C261EF"/>
    <w:rsid w:val="00C269FC"/>
    <w:rsid w:val="00C27A39"/>
    <w:rsid w:val="00C3056C"/>
    <w:rsid w:val="00C3057A"/>
    <w:rsid w:val="00C325E0"/>
    <w:rsid w:val="00C332EA"/>
    <w:rsid w:val="00C35A1B"/>
    <w:rsid w:val="00C35D4B"/>
    <w:rsid w:val="00C36BB4"/>
    <w:rsid w:val="00C40ACE"/>
    <w:rsid w:val="00C42250"/>
    <w:rsid w:val="00C447B2"/>
    <w:rsid w:val="00C47C2E"/>
    <w:rsid w:val="00C50B49"/>
    <w:rsid w:val="00C51449"/>
    <w:rsid w:val="00C54DB8"/>
    <w:rsid w:val="00C54E28"/>
    <w:rsid w:val="00C57FD1"/>
    <w:rsid w:val="00C6024B"/>
    <w:rsid w:val="00C60C75"/>
    <w:rsid w:val="00C61C72"/>
    <w:rsid w:val="00C62253"/>
    <w:rsid w:val="00C675ED"/>
    <w:rsid w:val="00C70E6F"/>
    <w:rsid w:val="00C71424"/>
    <w:rsid w:val="00C73D1F"/>
    <w:rsid w:val="00C74C95"/>
    <w:rsid w:val="00C74DA8"/>
    <w:rsid w:val="00C75CC5"/>
    <w:rsid w:val="00C75E74"/>
    <w:rsid w:val="00C766B1"/>
    <w:rsid w:val="00C76ED7"/>
    <w:rsid w:val="00C81AA3"/>
    <w:rsid w:val="00C839C7"/>
    <w:rsid w:val="00C84542"/>
    <w:rsid w:val="00C85A60"/>
    <w:rsid w:val="00C8623E"/>
    <w:rsid w:val="00C87680"/>
    <w:rsid w:val="00C87BE2"/>
    <w:rsid w:val="00C90AE7"/>
    <w:rsid w:val="00C90E97"/>
    <w:rsid w:val="00C91136"/>
    <w:rsid w:val="00C91332"/>
    <w:rsid w:val="00CA30B3"/>
    <w:rsid w:val="00CA6EC7"/>
    <w:rsid w:val="00CB0277"/>
    <w:rsid w:val="00CB13DC"/>
    <w:rsid w:val="00CB29B9"/>
    <w:rsid w:val="00CB7002"/>
    <w:rsid w:val="00CC0801"/>
    <w:rsid w:val="00CC15BD"/>
    <w:rsid w:val="00CC19FD"/>
    <w:rsid w:val="00CC5094"/>
    <w:rsid w:val="00CC5221"/>
    <w:rsid w:val="00CC6567"/>
    <w:rsid w:val="00CC701E"/>
    <w:rsid w:val="00CD0439"/>
    <w:rsid w:val="00CD0B55"/>
    <w:rsid w:val="00CD237A"/>
    <w:rsid w:val="00CD42A7"/>
    <w:rsid w:val="00CD58E4"/>
    <w:rsid w:val="00CD5CBC"/>
    <w:rsid w:val="00CD799E"/>
    <w:rsid w:val="00CE16FE"/>
    <w:rsid w:val="00CE24AB"/>
    <w:rsid w:val="00CE2A1B"/>
    <w:rsid w:val="00CE2FB5"/>
    <w:rsid w:val="00CE369D"/>
    <w:rsid w:val="00CE4344"/>
    <w:rsid w:val="00CE43FF"/>
    <w:rsid w:val="00CE537C"/>
    <w:rsid w:val="00CE7C16"/>
    <w:rsid w:val="00D0003E"/>
    <w:rsid w:val="00D0124C"/>
    <w:rsid w:val="00D0744A"/>
    <w:rsid w:val="00D100DC"/>
    <w:rsid w:val="00D10825"/>
    <w:rsid w:val="00D11548"/>
    <w:rsid w:val="00D17B23"/>
    <w:rsid w:val="00D23ED1"/>
    <w:rsid w:val="00D25A66"/>
    <w:rsid w:val="00D27354"/>
    <w:rsid w:val="00D27BD1"/>
    <w:rsid w:val="00D3166F"/>
    <w:rsid w:val="00D33383"/>
    <w:rsid w:val="00D362A6"/>
    <w:rsid w:val="00D36E39"/>
    <w:rsid w:val="00D37E89"/>
    <w:rsid w:val="00D40A28"/>
    <w:rsid w:val="00D4162A"/>
    <w:rsid w:val="00D42B41"/>
    <w:rsid w:val="00D45AE0"/>
    <w:rsid w:val="00D45D9E"/>
    <w:rsid w:val="00D476B3"/>
    <w:rsid w:val="00D47887"/>
    <w:rsid w:val="00D47953"/>
    <w:rsid w:val="00D501B5"/>
    <w:rsid w:val="00D51E60"/>
    <w:rsid w:val="00D521CB"/>
    <w:rsid w:val="00D5245E"/>
    <w:rsid w:val="00D54CD0"/>
    <w:rsid w:val="00D54DED"/>
    <w:rsid w:val="00D55404"/>
    <w:rsid w:val="00D60421"/>
    <w:rsid w:val="00D60432"/>
    <w:rsid w:val="00D623E9"/>
    <w:rsid w:val="00D63C9C"/>
    <w:rsid w:val="00D6441C"/>
    <w:rsid w:val="00D64663"/>
    <w:rsid w:val="00D6501C"/>
    <w:rsid w:val="00D71FE1"/>
    <w:rsid w:val="00D72B9E"/>
    <w:rsid w:val="00D72C29"/>
    <w:rsid w:val="00D73171"/>
    <w:rsid w:val="00D7405D"/>
    <w:rsid w:val="00D75DCB"/>
    <w:rsid w:val="00D816A0"/>
    <w:rsid w:val="00D8384F"/>
    <w:rsid w:val="00D83FF2"/>
    <w:rsid w:val="00D8420F"/>
    <w:rsid w:val="00D8493A"/>
    <w:rsid w:val="00D84F60"/>
    <w:rsid w:val="00D85642"/>
    <w:rsid w:val="00D871CF"/>
    <w:rsid w:val="00D90AB2"/>
    <w:rsid w:val="00D96817"/>
    <w:rsid w:val="00D96CF2"/>
    <w:rsid w:val="00DA045D"/>
    <w:rsid w:val="00DA2A7B"/>
    <w:rsid w:val="00DA3AFA"/>
    <w:rsid w:val="00DA43A0"/>
    <w:rsid w:val="00DA779C"/>
    <w:rsid w:val="00DA7BB0"/>
    <w:rsid w:val="00DB022F"/>
    <w:rsid w:val="00DB190A"/>
    <w:rsid w:val="00DB1FD3"/>
    <w:rsid w:val="00DB6030"/>
    <w:rsid w:val="00DB603E"/>
    <w:rsid w:val="00DB635C"/>
    <w:rsid w:val="00DB6B3D"/>
    <w:rsid w:val="00DB7112"/>
    <w:rsid w:val="00DB7C78"/>
    <w:rsid w:val="00DC151A"/>
    <w:rsid w:val="00DC1CC3"/>
    <w:rsid w:val="00DC2DC4"/>
    <w:rsid w:val="00DC3D2A"/>
    <w:rsid w:val="00DC4511"/>
    <w:rsid w:val="00DC498B"/>
    <w:rsid w:val="00DC627B"/>
    <w:rsid w:val="00DC72C4"/>
    <w:rsid w:val="00DD094B"/>
    <w:rsid w:val="00DD56D9"/>
    <w:rsid w:val="00DD70A7"/>
    <w:rsid w:val="00DE1B8D"/>
    <w:rsid w:val="00DE3DB0"/>
    <w:rsid w:val="00DE4814"/>
    <w:rsid w:val="00DE5958"/>
    <w:rsid w:val="00DF06F0"/>
    <w:rsid w:val="00DF0809"/>
    <w:rsid w:val="00DF23A4"/>
    <w:rsid w:val="00DF346D"/>
    <w:rsid w:val="00DF4D28"/>
    <w:rsid w:val="00DF5AE3"/>
    <w:rsid w:val="00DF79A7"/>
    <w:rsid w:val="00DF7EB4"/>
    <w:rsid w:val="00E011CA"/>
    <w:rsid w:val="00E01617"/>
    <w:rsid w:val="00E0221F"/>
    <w:rsid w:val="00E02C98"/>
    <w:rsid w:val="00E03151"/>
    <w:rsid w:val="00E0334A"/>
    <w:rsid w:val="00E03E38"/>
    <w:rsid w:val="00E04FF3"/>
    <w:rsid w:val="00E05DD1"/>
    <w:rsid w:val="00E06478"/>
    <w:rsid w:val="00E10605"/>
    <w:rsid w:val="00E11757"/>
    <w:rsid w:val="00E15140"/>
    <w:rsid w:val="00E16DA4"/>
    <w:rsid w:val="00E2298E"/>
    <w:rsid w:val="00E25DBC"/>
    <w:rsid w:val="00E262A0"/>
    <w:rsid w:val="00E2641E"/>
    <w:rsid w:val="00E30EC9"/>
    <w:rsid w:val="00E32BCD"/>
    <w:rsid w:val="00E32E3D"/>
    <w:rsid w:val="00E33199"/>
    <w:rsid w:val="00E3390E"/>
    <w:rsid w:val="00E35776"/>
    <w:rsid w:val="00E367F3"/>
    <w:rsid w:val="00E36B99"/>
    <w:rsid w:val="00E3745D"/>
    <w:rsid w:val="00E37C3D"/>
    <w:rsid w:val="00E41B70"/>
    <w:rsid w:val="00E42B13"/>
    <w:rsid w:val="00E44AE5"/>
    <w:rsid w:val="00E4585F"/>
    <w:rsid w:val="00E45C5E"/>
    <w:rsid w:val="00E46194"/>
    <w:rsid w:val="00E46A62"/>
    <w:rsid w:val="00E47D5C"/>
    <w:rsid w:val="00E47EB9"/>
    <w:rsid w:val="00E51301"/>
    <w:rsid w:val="00E52BDF"/>
    <w:rsid w:val="00E52F6C"/>
    <w:rsid w:val="00E533D9"/>
    <w:rsid w:val="00E563E7"/>
    <w:rsid w:val="00E5725F"/>
    <w:rsid w:val="00E607C2"/>
    <w:rsid w:val="00E6213C"/>
    <w:rsid w:val="00E63380"/>
    <w:rsid w:val="00E64668"/>
    <w:rsid w:val="00E678EF"/>
    <w:rsid w:val="00E70824"/>
    <w:rsid w:val="00E71C96"/>
    <w:rsid w:val="00E74781"/>
    <w:rsid w:val="00E76F07"/>
    <w:rsid w:val="00E82AA2"/>
    <w:rsid w:val="00E83370"/>
    <w:rsid w:val="00E8516D"/>
    <w:rsid w:val="00E86E86"/>
    <w:rsid w:val="00E9110C"/>
    <w:rsid w:val="00E91411"/>
    <w:rsid w:val="00E93041"/>
    <w:rsid w:val="00E947B3"/>
    <w:rsid w:val="00EA1972"/>
    <w:rsid w:val="00EA1EFE"/>
    <w:rsid w:val="00EA2035"/>
    <w:rsid w:val="00EA3480"/>
    <w:rsid w:val="00EA47CE"/>
    <w:rsid w:val="00EA5B63"/>
    <w:rsid w:val="00EB1BBD"/>
    <w:rsid w:val="00EB20FB"/>
    <w:rsid w:val="00EB44B7"/>
    <w:rsid w:val="00EB5619"/>
    <w:rsid w:val="00EB6F97"/>
    <w:rsid w:val="00EB7DA2"/>
    <w:rsid w:val="00EC0C5D"/>
    <w:rsid w:val="00EC2CDF"/>
    <w:rsid w:val="00EC32F7"/>
    <w:rsid w:val="00EC64C1"/>
    <w:rsid w:val="00ED1FDB"/>
    <w:rsid w:val="00ED2F54"/>
    <w:rsid w:val="00ED46A1"/>
    <w:rsid w:val="00ED657D"/>
    <w:rsid w:val="00ED6AFF"/>
    <w:rsid w:val="00EE4612"/>
    <w:rsid w:val="00EE4B26"/>
    <w:rsid w:val="00EE5284"/>
    <w:rsid w:val="00EE52A4"/>
    <w:rsid w:val="00EE5508"/>
    <w:rsid w:val="00EE5B18"/>
    <w:rsid w:val="00EE795E"/>
    <w:rsid w:val="00EE7E0A"/>
    <w:rsid w:val="00EF1A56"/>
    <w:rsid w:val="00F005E8"/>
    <w:rsid w:val="00F00745"/>
    <w:rsid w:val="00F014C1"/>
    <w:rsid w:val="00F02BDD"/>
    <w:rsid w:val="00F043C9"/>
    <w:rsid w:val="00F062B0"/>
    <w:rsid w:val="00F06AAB"/>
    <w:rsid w:val="00F06B5A"/>
    <w:rsid w:val="00F101A9"/>
    <w:rsid w:val="00F10B3B"/>
    <w:rsid w:val="00F12170"/>
    <w:rsid w:val="00F15822"/>
    <w:rsid w:val="00F17B35"/>
    <w:rsid w:val="00F202DC"/>
    <w:rsid w:val="00F202E0"/>
    <w:rsid w:val="00F206C3"/>
    <w:rsid w:val="00F20B5F"/>
    <w:rsid w:val="00F20BB2"/>
    <w:rsid w:val="00F212D8"/>
    <w:rsid w:val="00F22B50"/>
    <w:rsid w:val="00F23300"/>
    <w:rsid w:val="00F24A05"/>
    <w:rsid w:val="00F26402"/>
    <w:rsid w:val="00F26663"/>
    <w:rsid w:val="00F27192"/>
    <w:rsid w:val="00F300F5"/>
    <w:rsid w:val="00F31729"/>
    <w:rsid w:val="00F3246A"/>
    <w:rsid w:val="00F333D7"/>
    <w:rsid w:val="00F37B2D"/>
    <w:rsid w:val="00F40EBF"/>
    <w:rsid w:val="00F42C77"/>
    <w:rsid w:val="00F45645"/>
    <w:rsid w:val="00F45806"/>
    <w:rsid w:val="00F47790"/>
    <w:rsid w:val="00F5079A"/>
    <w:rsid w:val="00F51AA9"/>
    <w:rsid w:val="00F55701"/>
    <w:rsid w:val="00F563A0"/>
    <w:rsid w:val="00F604C3"/>
    <w:rsid w:val="00F6073F"/>
    <w:rsid w:val="00F62C77"/>
    <w:rsid w:val="00F63022"/>
    <w:rsid w:val="00F64EEB"/>
    <w:rsid w:val="00F65877"/>
    <w:rsid w:val="00F65EB1"/>
    <w:rsid w:val="00F666B2"/>
    <w:rsid w:val="00F6747F"/>
    <w:rsid w:val="00F70506"/>
    <w:rsid w:val="00F70F19"/>
    <w:rsid w:val="00F72B07"/>
    <w:rsid w:val="00F73187"/>
    <w:rsid w:val="00F749D7"/>
    <w:rsid w:val="00F74A5F"/>
    <w:rsid w:val="00F7564C"/>
    <w:rsid w:val="00F7595B"/>
    <w:rsid w:val="00F80EEC"/>
    <w:rsid w:val="00F8154D"/>
    <w:rsid w:val="00F815A7"/>
    <w:rsid w:val="00F84437"/>
    <w:rsid w:val="00F849C0"/>
    <w:rsid w:val="00F84FFF"/>
    <w:rsid w:val="00F8776D"/>
    <w:rsid w:val="00F90191"/>
    <w:rsid w:val="00F90DFE"/>
    <w:rsid w:val="00F91925"/>
    <w:rsid w:val="00F93FF4"/>
    <w:rsid w:val="00F94740"/>
    <w:rsid w:val="00F94828"/>
    <w:rsid w:val="00F94B45"/>
    <w:rsid w:val="00F9613F"/>
    <w:rsid w:val="00F96C0F"/>
    <w:rsid w:val="00FA0EFB"/>
    <w:rsid w:val="00FA1B25"/>
    <w:rsid w:val="00FA1CAA"/>
    <w:rsid w:val="00FA208F"/>
    <w:rsid w:val="00FA2F7B"/>
    <w:rsid w:val="00FA3196"/>
    <w:rsid w:val="00FA3CED"/>
    <w:rsid w:val="00FA6064"/>
    <w:rsid w:val="00FA6DAD"/>
    <w:rsid w:val="00FB1021"/>
    <w:rsid w:val="00FB2774"/>
    <w:rsid w:val="00FB2E3F"/>
    <w:rsid w:val="00FB5D02"/>
    <w:rsid w:val="00FC178E"/>
    <w:rsid w:val="00FC22D9"/>
    <w:rsid w:val="00FC4997"/>
    <w:rsid w:val="00FC4A67"/>
    <w:rsid w:val="00FC682B"/>
    <w:rsid w:val="00FC6A85"/>
    <w:rsid w:val="00FD0FB0"/>
    <w:rsid w:val="00FD2962"/>
    <w:rsid w:val="00FD5491"/>
    <w:rsid w:val="00FD5DB5"/>
    <w:rsid w:val="00FD6ADB"/>
    <w:rsid w:val="00FE1090"/>
    <w:rsid w:val="00FE1CB1"/>
    <w:rsid w:val="00FE41B4"/>
    <w:rsid w:val="00FE48D1"/>
    <w:rsid w:val="00FE4B83"/>
    <w:rsid w:val="00FE52AE"/>
    <w:rsid w:val="00FE5C51"/>
    <w:rsid w:val="00FF0EC0"/>
    <w:rsid w:val="00FF1510"/>
    <w:rsid w:val="00FF175D"/>
    <w:rsid w:val="00FF2D46"/>
    <w:rsid w:val="00FF3A66"/>
    <w:rsid w:val="00FF4125"/>
    <w:rsid w:val="00FF7256"/>
    <w:rsid w:val="123B45F5"/>
    <w:rsid w:val="1C387059"/>
    <w:rsid w:val="2AD908DC"/>
    <w:rsid w:val="3E6C1C73"/>
    <w:rsid w:val="4CA52B06"/>
    <w:rsid w:val="5E727851"/>
    <w:rsid w:val="657D3011"/>
    <w:rsid w:val="6F655ACF"/>
    <w:rsid w:val="746D7786"/>
    <w:rsid w:val="798C38F6"/>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99"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62"/>
    <w:qFormat/>
    <w:uiPriority w:val="0"/>
    <w:pPr>
      <w:keepNext/>
      <w:keepLines/>
      <w:spacing w:before="260" w:after="260" w:line="416" w:lineRule="auto"/>
      <w:outlineLvl w:val="1"/>
    </w:pPr>
    <w:rPr>
      <w:rFonts w:ascii="Cambria" w:hAnsi="Cambria"/>
      <w:b/>
      <w:bCs/>
      <w:sz w:val="24"/>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4">
    <w:name w:val="Default Paragraph Font"/>
    <w:unhideWhenUsed/>
    <w:uiPriority w:val="1"/>
  </w:style>
  <w:style w:type="table" w:default="1" w:styleId="18">
    <w:name w:val="Normal Table"/>
    <w:unhideWhenUsed/>
    <w:qFormat/>
    <w:uiPriority w:val="99"/>
    <w:tblPr>
      <w:tblStyle w:val="18"/>
      <w:tblLayout w:type="fixed"/>
      <w:tblCellMar>
        <w:top w:w="0" w:type="dxa"/>
        <w:left w:w="108" w:type="dxa"/>
        <w:bottom w:w="0" w:type="dxa"/>
        <w:right w:w="108" w:type="dxa"/>
      </w:tblCellMar>
    </w:tblPr>
    <w:tcPr>
      <w:textDirection w:val="lrTb"/>
    </w:tcPr>
  </w:style>
  <w:style w:type="paragraph" w:styleId="5">
    <w:name w:val="Document Map"/>
    <w:basedOn w:val="1"/>
    <w:semiHidden/>
    <w:uiPriority w:val="0"/>
    <w:pPr>
      <w:shd w:val="clear" w:color="auto" w:fill="000080"/>
    </w:pPr>
  </w:style>
  <w:style w:type="paragraph" w:styleId="6">
    <w:name w:val="Body Text Indent"/>
    <w:basedOn w:val="1"/>
    <w:link w:val="58"/>
    <w:uiPriority w:val="0"/>
    <w:pPr>
      <w:spacing w:line="460" w:lineRule="exact"/>
      <w:ind w:firstLine="567"/>
    </w:pPr>
    <w:rPr>
      <w:spacing w:val="20"/>
      <w:sz w:val="24"/>
      <w:szCs w:val="20"/>
    </w:rPr>
  </w:style>
  <w:style w:type="paragraph" w:styleId="7">
    <w:name w:val="Date"/>
    <w:basedOn w:val="1"/>
    <w:next w:val="1"/>
    <w:uiPriority w:val="0"/>
    <w:pPr>
      <w:ind w:left="100" w:leftChars="2500"/>
    </w:pPr>
  </w:style>
  <w:style w:type="paragraph" w:styleId="8">
    <w:name w:val="Body Text Indent 2"/>
    <w:basedOn w:val="1"/>
    <w:link w:val="57"/>
    <w:uiPriority w:val="99"/>
    <w:pPr>
      <w:spacing w:after="120" w:line="480" w:lineRule="auto"/>
      <w:ind w:left="420" w:leftChars="200"/>
    </w:pPr>
  </w:style>
  <w:style w:type="paragraph" w:styleId="9">
    <w:name w:val="Balloon Text"/>
    <w:basedOn w:val="1"/>
    <w:semiHidden/>
    <w:uiPriority w:val="0"/>
    <w:rPr>
      <w:sz w:val="18"/>
      <w:szCs w:val="18"/>
    </w:rPr>
  </w:style>
  <w:style w:type="paragraph" w:styleId="10">
    <w:name w:val="footer"/>
    <w:basedOn w:val="1"/>
    <w:link w:val="60"/>
    <w:uiPriority w:val="0"/>
    <w:pPr>
      <w:tabs>
        <w:tab w:val="center" w:pos="4153"/>
        <w:tab w:val="right" w:pos="8306"/>
      </w:tabs>
      <w:snapToGrid w:val="0"/>
      <w:jc w:val="left"/>
    </w:pPr>
    <w:rPr>
      <w:sz w:val="18"/>
      <w:szCs w:val="18"/>
    </w:rPr>
  </w:style>
  <w:style w:type="paragraph" w:styleId="11">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uiPriority w:val="39"/>
    <w:pPr>
      <w:tabs>
        <w:tab w:val="left" w:pos="390"/>
        <w:tab w:val="right" w:leader="dot" w:pos="8296"/>
      </w:tabs>
      <w:spacing w:line="360" w:lineRule="auto"/>
      <w:ind w:left="630" w:leftChars="300" w:right="210" w:rightChars="100"/>
    </w:pPr>
    <w:rPr>
      <w:rFonts w:ascii="宋体" w:hAnsi="宋体"/>
    </w:rPr>
  </w:style>
  <w:style w:type="paragraph" w:styleId="13">
    <w:name w:val="Normal (Web)"/>
    <w:basedOn w:val="1"/>
    <w:uiPriority w:val="0"/>
    <w:pPr>
      <w:widowControl/>
      <w:spacing w:before="100" w:beforeAutospacing="1" w:after="100" w:afterAutospacing="1"/>
      <w:jc w:val="left"/>
    </w:pPr>
    <w:rPr>
      <w:rFonts w:ascii="宋体" w:hAnsi="宋体"/>
      <w:kern w:val="0"/>
      <w:sz w:val="24"/>
    </w:rPr>
  </w:style>
  <w:style w:type="character" w:styleId="15">
    <w:name w:val="Strong"/>
    <w:basedOn w:val="14"/>
    <w:qFormat/>
    <w:uiPriority w:val="22"/>
    <w:rPr>
      <w:rFonts w:cs="Times New Roman"/>
      <w:b/>
      <w:bCs/>
    </w:rPr>
  </w:style>
  <w:style w:type="character" w:styleId="16">
    <w:name w:val="page number"/>
    <w:basedOn w:val="14"/>
    <w:uiPriority w:val="0"/>
    <w:rPr/>
  </w:style>
  <w:style w:type="character" w:styleId="17">
    <w:name w:val="Hyperlink"/>
    <w:uiPriority w:val="99"/>
    <w:rPr>
      <w:color w:val="0000FF"/>
      <w:u w:val="single"/>
    </w:rPr>
  </w:style>
  <w:style w:type="table" w:styleId="19">
    <w:name w:val="Table Grid"/>
    <w:basedOn w:val="18"/>
    <w:uiPriority w:val="59"/>
    <w:pPr>
      <w:widowControl w:val="0"/>
      <w:jc w:val="both"/>
    </w:pPr>
    <w:tblPr>
      <w:tblStyle w:val="1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paragraph" w:customStyle="1" w:styleId="20">
    <w:name w:val="二级条标题"/>
    <w:basedOn w:val="21"/>
    <w:next w:val="1"/>
    <w:uiPriority w:val="0"/>
    <w:pPr>
      <w:numPr>
        <w:ilvl w:val="1"/>
        <w:numId w:val="0"/>
      </w:numPr>
      <w:ind w:left="1555"/>
      <w:outlineLvl w:val="3"/>
    </w:pPr>
  </w:style>
  <w:style w:type="paragraph" w:customStyle="1" w:styleId="21">
    <w:name w:val="一级条标题"/>
    <w:basedOn w:val="22"/>
    <w:next w:val="1"/>
    <w:uiPriority w:val="0"/>
    <w:pPr>
      <w:numPr>
        <w:ilvl w:val="1"/>
        <w:numId w:val="1"/>
      </w:numPr>
      <w:tabs>
        <w:tab w:val="left" w:pos="360"/>
      </w:tabs>
      <w:spacing w:before="0" w:after="0"/>
      <w:outlineLvl w:val="2"/>
    </w:pPr>
  </w:style>
  <w:style w:type="paragraph" w:customStyle="1" w:styleId="22">
    <w:name w:val="章标题"/>
    <w:next w:val="1"/>
    <w:uiPriority w:val="0"/>
    <w:pPr>
      <w:numPr>
        <w:ilvl w:val="0"/>
        <w:numId w:val="1"/>
      </w:numPr>
      <w:spacing w:before="50" w:after="50"/>
      <w:jc w:val="both"/>
      <w:outlineLvl w:val="1"/>
    </w:pPr>
    <w:rPr>
      <w:rFonts w:ascii="黑体" w:hAnsi="Times New Roman" w:eastAsia="黑体" w:cs="Times New Roman"/>
      <w:sz w:val="21"/>
      <w:lang w:val="en-US" w:eastAsia="zh-CN" w:bidi="ar-SA"/>
    </w:rPr>
  </w:style>
  <w:style w:type="paragraph" w:customStyle="1" w:styleId="23">
    <w:name w:val="四级条标题"/>
    <w:basedOn w:val="24"/>
    <w:next w:val="1"/>
    <w:uiPriority w:val="0"/>
    <w:pPr>
      <w:numPr>
        <w:numId w:val="0"/>
      </w:numPr>
      <w:ind w:left="1555"/>
      <w:outlineLvl w:val="5"/>
    </w:pPr>
  </w:style>
  <w:style w:type="paragraph" w:customStyle="1" w:styleId="24">
    <w:name w:val="三级条标题"/>
    <w:basedOn w:val="20"/>
    <w:next w:val="1"/>
    <w:uiPriority w:val="0"/>
    <w:pPr>
      <w:numPr>
        <w:numId w:val="0"/>
      </w:numPr>
      <w:ind w:left="1555"/>
      <w:outlineLvl w:val="4"/>
    </w:pPr>
  </w:style>
  <w:style w:type="paragraph" w:customStyle="1" w:styleId="25">
    <w:name w:val="前言、引言标题"/>
    <w:next w:val="1"/>
    <w:uiPriority w:val="0"/>
    <w:pPr>
      <w:numPr>
        <w:ilvl w:val="0"/>
        <w:numId w:val="2"/>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6">
    <w:name w:val="二级无"/>
    <w:basedOn w:val="20"/>
    <w:uiPriority w:val="0"/>
    <w:pPr>
      <w:spacing w:before="50" w:after="50"/>
      <w:ind w:left="0"/>
      <w:jc w:val="left"/>
    </w:pPr>
    <w:rPr>
      <w:rFonts w:ascii="宋体" w:eastAsia="宋体"/>
      <w:szCs w:val="21"/>
    </w:rPr>
  </w:style>
  <w:style w:type="paragraph" w:customStyle="1" w:styleId="27">
    <w:name w:val="段"/>
    <w:link w:val="61"/>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8">
    <w:name w:val="列出段落1"/>
    <w:basedOn w:val="1"/>
    <w:uiPriority w:val="0"/>
    <w:pPr>
      <w:ind w:firstLine="420" w:firstLineChars="200"/>
    </w:pPr>
    <w:rPr>
      <w:rFonts w:ascii="Calibri" w:hAnsi="Calibri"/>
      <w:szCs w:val="22"/>
    </w:rPr>
  </w:style>
  <w:style w:type="paragraph" w:customStyle="1" w:styleId="29">
    <w:name w:val="Char"/>
    <w:basedOn w:val="1"/>
    <w:uiPriority w:val="0"/>
    <w:pPr>
      <w:widowControl/>
      <w:spacing w:after="160" w:line="240" w:lineRule="exact"/>
      <w:jc w:val="left"/>
    </w:pPr>
    <w:rPr>
      <w:rFonts w:ascii="Arial" w:hAnsi="Arial" w:eastAsia="Times New Roman" w:cs="Verdana"/>
      <w:b/>
      <w:kern w:val="0"/>
      <w:sz w:val="24"/>
      <w:lang w:eastAsia="en-US"/>
    </w:rPr>
  </w:style>
  <w:style w:type="paragraph" w:customStyle="1" w:styleId="30">
    <w:name w:val="Defaul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1">
    <w:name w:val="列出段落11"/>
    <w:basedOn w:val="1"/>
    <w:uiPriority w:val="0"/>
    <w:pPr>
      <w:ind w:firstLine="420" w:firstLineChars="200"/>
    </w:pPr>
    <w:rPr>
      <w:rFonts w:ascii="Calibri" w:hAnsi="Calibri" w:cs="Calibri"/>
      <w:szCs w:val="21"/>
    </w:rPr>
  </w:style>
  <w:style w:type="paragraph" w:customStyle="1" w:styleId="32">
    <w:name w:val="封面标准名称"/>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3">
    <w:name w:val="五级条标题"/>
    <w:basedOn w:val="23"/>
    <w:next w:val="1"/>
    <w:uiPriority w:val="0"/>
    <w:pPr>
      <w:numPr>
        <w:numId w:val="0"/>
      </w:numPr>
      <w:ind w:left="1555"/>
      <w:outlineLvl w:val="6"/>
    </w:pPr>
  </w:style>
  <w:style w:type="paragraph" w:customStyle="1" w:styleId="34">
    <w:name w:val="附录标识"/>
    <w:basedOn w:val="25"/>
    <w:uiPriority w:val="0"/>
    <w:pPr>
      <w:numPr>
        <w:ilvl w:val="0"/>
        <w:numId w:val="3"/>
      </w:numPr>
      <w:tabs>
        <w:tab w:val="left" w:pos="6405"/>
      </w:tabs>
      <w:spacing w:after="200"/>
    </w:pPr>
    <w:rPr>
      <w:sz w:val="21"/>
    </w:rPr>
  </w:style>
  <w:style w:type="paragraph" w:customStyle="1" w:styleId="35">
    <w:name w:val="附录章标题"/>
    <w:next w:val="27"/>
    <w:uiPriority w:val="0"/>
    <w:pPr>
      <w:numPr>
        <w:ilvl w:val="1"/>
        <w:numId w:val="3"/>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36">
    <w:name w:val="附录一级条标题"/>
    <w:basedOn w:val="35"/>
    <w:next w:val="27"/>
    <w:uiPriority w:val="0"/>
    <w:pPr>
      <w:numPr>
        <w:ilvl w:val="2"/>
        <w:numId w:val="3"/>
      </w:numPr>
      <w:autoSpaceDN w:val="0"/>
      <w:spacing w:beforeLines="0" w:afterLines="0"/>
      <w:outlineLvl w:val="2"/>
    </w:pPr>
  </w:style>
  <w:style w:type="paragraph" w:customStyle="1" w:styleId="37">
    <w:name w:val="附录二级条标题"/>
    <w:basedOn w:val="36"/>
    <w:next w:val="27"/>
    <w:uiPriority w:val="0"/>
    <w:pPr>
      <w:numPr>
        <w:ilvl w:val="3"/>
        <w:numId w:val="3"/>
      </w:numPr>
      <w:outlineLvl w:val="3"/>
    </w:pPr>
  </w:style>
  <w:style w:type="paragraph" w:customStyle="1" w:styleId="38">
    <w:name w:val="附录三级条标题"/>
    <w:basedOn w:val="37"/>
    <w:next w:val="27"/>
    <w:uiPriority w:val="0"/>
    <w:pPr>
      <w:numPr>
        <w:ilvl w:val="4"/>
        <w:numId w:val="3"/>
      </w:numPr>
      <w:outlineLvl w:val="4"/>
    </w:pPr>
  </w:style>
  <w:style w:type="paragraph" w:customStyle="1" w:styleId="39">
    <w:name w:val="附录五级条标题"/>
    <w:basedOn w:val="1"/>
    <w:next w:val="27"/>
    <w:uiPriority w:val="0"/>
    <w:pPr>
      <w:widowControl/>
      <w:numPr>
        <w:ilvl w:val="6"/>
        <w:numId w:val="3"/>
      </w:numPr>
      <w:wordWrap w:val="0"/>
      <w:overflowPunct w:val="0"/>
      <w:autoSpaceDE w:val="0"/>
      <w:autoSpaceDN w:val="0"/>
      <w:textAlignment w:val="baseline"/>
      <w:outlineLvl w:val="6"/>
    </w:pPr>
    <w:rPr>
      <w:rFonts w:ascii="黑体" w:eastAsia="黑体"/>
      <w:kern w:val="21"/>
      <w:szCs w:val="20"/>
    </w:rPr>
  </w:style>
  <w:style w:type="paragraph" w:customStyle="1" w:styleId="40">
    <w:name w:val="a4"/>
    <w:basedOn w:val="1"/>
    <w:uiPriority w:val="0"/>
    <w:pPr>
      <w:widowControl/>
      <w:numPr>
        <w:ilvl w:val="5"/>
        <w:numId w:val="3"/>
      </w:numPr>
      <w:jc w:val="left"/>
    </w:pPr>
    <w:rPr>
      <w:kern w:val="0"/>
      <w:szCs w:val="21"/>
    </w:rPr>
  </w:style>
  <w:style w:type="paragraph" w:customStyle="1" w:styleId="41">
    <w:name w:val="二级无标题条"/>
    <w:basedOn w:val="1"/>
    <w:uiPriority w:val="0"/>
    <w:pPr>
      <w:numPr>
        <w:ilvl w:val="3"/>
        <w:numId w:val="4"/>
      </w:numPr>
    </w:pPr>
  </w:style>
  <w:style w:type="paragraph" w:customStyle="1" w:styleId="42">
    <w:name w:val="三级无标题条"/>
    <w:basedOn w:val="1"/>
    <w:uiPriority w:val="0"/>
    <w:pPr>
      <w:numPr>
        <w:ilvl w:val="4"/>
        <w:numId w:val="4"/>
      </w:numPr>
    </w:pPr>
  </w:style>
  <w:style w:type="paragraph" w:customStyle="1" w:styleId="43">
    <w:name w:val="四级无标题条"/>
    <w:basedOn w:val="1"/>
    <w:uiPriority w:val="0"/>
    <w:pPr>
      <w:numPr>
        <w:ilvl w:val="5"/>
        <w:numId w:val="4"/>
      </w:numPr>
    </w:pPr>
  </w:style>
  <w:style w:type="paragraph" w:customStyle="1" w:styleId="44">
    <w:name w:val="五级无标题条"/>
    <w:basedOn w:val="1"/>
    <w:uiPriority w:val="0"/>
    <w:pPr>
      <w:numPr>
        <w:ilvl w:val="6"/>
        <w:numId w:val="4"/>
      </w:numPr>
    </w:pPr>
  </w:style>
  <w:style w:type="paragraph" w:customStyle="1" w:styleId="45">
    <w:name w:val="一级无标题条"/>
    <w:basedOn w:val="1"/>
    <w:uiPriority w:val="0"/>
    <w:pPr>
      <w:numPr>
        <w:ilvl w:val="2"/>
        <w:numId w:val="4"/>
      </w:numPr>
    </w:pPr>
  </w:style>
  <w:style w:type="paragraph" w:customStyle="1" w:styleId="46">
    <w:name w:val="List Paragraph"/>
    <w:basedOn w:val="1"/>
    <w:qFormat/>
    <w:uiPriority w:val="34"/>
    <w:pPr>
      <w:ind w:firstLine="420" w:firstLineChars="200"/>
    </w:pPr>
  </w:style>
  <w:style w:type="paragraph" w:customStyle="1" w:styleId="47">
    <w:name w:val="列项——（一级）"/>
    <w:uiPriority w:val="0"/>
    <w:pPr>
      <w:widowControl w:val="0"/>
      <w:numPr>
        <w:ilvl w:val="0"/>
        <w:numId w:val="5"/>
      </w:numPr>
      <w:jc w:val="both"/>
    </w:pPr>
    <w:rPr>
      <w:rFonts w:ascii="宋体" w:hAnsi="Times New Roman" w:eastAsia="宋体" w:cs="Times New Roman"/>
      <w:sz w:val="21"/>
      <w:lang w:val="en-US" w:eastAsia="zh-CN" w:bidi="ar-SA"/>
    </w:rPr>
  </w:style>
  <w:style w:type="paragraph" w:customStyle="1" w:styleId="48">
    <w:name w:val="列项●（二级）"/>
    <w:uiPriority w:val="0"/>
    <w:pPr>
      <w:numPr>
        <w:ilvl w:val="1"/>
        <w:numId w:val="5"/>
      </w:numPr>
      <w:tabs>
        <w:tab w:val="left" w:pos="840"/>
      </w:tabs>
      <w:jc w:val="both"/>
    </w:pPr>
    <w:rPr>
      <w:rFonts w:ascii="宋体" w:hAnsi="Times New Roman" w:eastAsia="宋体" w:cs="Times New Roman"/>
      <w:sz w:val="21"/>
      <w:lang w:val="en-US" w:eastAsia="zh-CN" w:bidi="ar-SA"/>
    </w:rPr>
  </w:style>
  <w:style w:type="paragraph" w:customStyle="1" w:styleId="49">
    <w:name w:val="列项◆（三级）"/>
    <w:basedOn w:val="1"/>
    <w:uiPriority w:val="0"/>
    <w:pPr>
      <w:numPr>
        <w:ilvl w:val="2"/>
        <w:numId w:val="5"/>
      </w:numPr>
    </w:pPr>
    <w:rPr>
      <w:rFonts w:ascii="宋体"/>
      <w:szCs w:val="21"/>
    </w:rPr>
  </w:style>
  <w:style w:type="paragraph" w:customStyle="1" w:styleId="50">
    <w:name w:val="三级无"/>
    <w:basedOn w:val="24"/>
    <w:uiPriority w:val="0"/>
    <w:pPr>
      <w:numPr>
        <w:numId w:val="0"/>
      </w:numPr>
      <w:spacing w:line="360" w:lineRule="auto"/>
      <w:ind w:firstLine="425" w:firstLineChars="177"/>
      <w:jc w:val="left"/>
    </w:pPr>
    <w:rPr>
      <w:rFonts w:ascii="宋体" w:eastAsia="宋体"/>
      <w:sz w:val="24"/>
      <w:szCs w:val="24"/>
    </w:rPr>
  </w:style>
  <w:style w:type="paragraph" w:customStyle="1" w:styleId="51">
    <w:name w:val="示例"/>
    <w:next w:val="1"/>
    <w:uiPriority w:val="0"/>
    <w:pPr>
      <w:widowControl w:val="0"/>
      <w:numPr>
        <w:ilvl w:val="0"/>
        <w:numId w:val="6"/>
      </w:numPr>
      <w:jc w:val="both"/>
    </w:pPr>
    <w:rPr>
      <w:rFonts w:ascii="宋体" w:hAnsi="Times New Roman" w:eastAsia="宋体" w:cs="Times New Roman"/>
      <w:sz w:val="18"/>
      <w:szCs w:val="18"/>
      <w:lang w:val="en-US" w:eastAsia="zh-CN" w:bidi="ar-SA"/>
    </w:rPr>
  </w:style>
  <w:style w:type="paragraph" w:customStyle="1" w:styleId="52">
    <w:name w:val="正文表标题"/>
    <w:next w:val="27"/>
    <w:uiPriority w:val="0"/>
    <w:pPr>
      <w:numPr>
        <w:ilvl w:val="0"/>
        <w:numId w:val="7"/>
      </w:numPr>
      <w:spacing w:beforeLines="50" w:afterLines="50"/>
      <w:ind w:left="0"/>
      <w:jc w:val="center"/>
    </w:pPr>
    <w:rPr>
      <w:rFonts w:ascii="黑体" w:hAnsi="Times New Roman" w:eastAsia="黑体" w:cs="Times New Roman"/>
      <w:sz w:val="21"/>
      <w:lang w:val="en-US" w:eastAsia="zh-CN" w:bidi="ar-SA"/>
    </w:rPr>
  </w:style>
  <w:style w:type="paragraph" w:customStyle="1" w:styleId="53">
    <w:name w:val="附录四级条标题"/>
    <w:basedOn w:val="38"/>
    <w:next w:val="27"/>
    <w:uiPriority w:val="0"/>
    <w:pPr>
      <w:numPr>
        <w:ilvl w:val="4"/>
        <w:numId w:val="0"/>
      </w:numPr>
      <w:tabs>
        <w:tab w:val="left" w:pos="360"/>
      </w:tabs>
      <w:spacing w:beforeLines="50" w:afterLines="50"/>
      <w:outlineLvl w:val="5"/>
    </w:pPr>
  </w:style>
  <w:style w:type="paragraph" w:customStyle="1" w:styleId="54">
    <w:name w:val="示例×："/>
    <w:basedOn w:val="22"/>
    <w:qFormat/>
    <w:uiPriority w:val="0"/>
    <w:pPr>
      <w:numPr>
        <w:ilvl w:val="0"/>
        <w:numId w:val="8"/>
      </w:numPr>
      <w:spacing w:before="0" w:after="0"/>
      <w:outlineLvl w:val="9"/>
    </w:pPr>
    <w:rPr>
      <w:rFonts w:ascii="宋体" w:eastAsia="宋体"/>
      <w:sz w:val="18"/>
      <w:szCs w:val="18"/>
    </w:rPr>
  </w:style>
  <w:style w:type="paragraph" w:customStyle="1" w:styleId="55">
    <w:name w:val="附录标题"/>
    <w:basedOn w:val="27"/>
    <w:next w:val="27"/>
    <w:uiPriority w:val="0"/>
    <w:pPr>
      <w:ind w:firstLine="0" w:firstLineChars="0"/>
      <w:jc w:val="center"/>
    </w:pPr>
    <w:rPr>
      <w:rFonts w:ascii="黑体" w:eastAsia="黑体"/>
    </w:rPr>
  </w:style>
  <w:style w:type="paragraph" w:customStyle="1" w:styleId="56">
    <w:name w:val="附录一级无"/>
    <w:basedOn w:val="36"/>
    <w:uiPriority w:val="0"/>
    <w:pPr>
      <w:numPr>
        <w:ilvl w:val="0"/>
        <w:numId w:val="1"/>
      </w:numPr>
    </w:pPr>
    <w:rPr>
      <w:rFonts w:ascii="宋体" w:eastAsia="宋体"/>
      <w:szCs w:val="21"/>
    </w:rPr>
  </w:style>
  <w:style w:type="character" w:customStyle="1" w:styleId="57">
    <w:name w:val="正文文本缩进 2 Char"/>
    <w:basedOn w:val="14"/>
    <w:link w:val="8"/>
    <w:uiPriority w:val="99"/>
    <w:rPr>
      <w:kern w:val="2"/>
      <w:sz w:val="21"/>
      <w:szCs w:val="24"/>
    </w:rPr>
  </w:style>
  <w:style w:type="character" w:customStyle="1" w:styleId="58">
    <w:name w:val="正文文本缩进 Char"/>
    <w:link w:val="6"/>
    <w:uiPriority w:val="0"/>
    <w:rPr>
      <w:rFonts w:eastAsia="宋体"/>
      <w:spacing w:val="20"/>
      <w:kern w:val="2"/>
      <w:sz w:val="24"/>
      <w:lang w:val="en-US" w:eastAsia="zh-CN" w:bidi="ar-SA"/>
    </w:rPr>
  </w:style>
  <w:style w:type="character" w:customStyle="1" w:styleId="59">
    <w:name w:val="标题 1 Char"/>
    <w:basedOn w:val="14"/>
    <w:link w:val="2"/>
    <w:uiPriority w:val="9"/>
    <w:rPr>
      <w:b/>
      <w:bCs/>
      <w:kern w:val="44"/>
      <w:sz w:val="44"/>
      <w:szCs w:val="44"/>
    </w:rPr>
  </w:style>
  <w:style w:type="character" w:customStyle="1" w:styleId="60">
    <w:name w:val="页脚 Char"/>
    <w:basedOn w:val="14"/>
    <w:link w:val="10"/>
    <w:locked/>
    <w:uiPriority w:val="0"/>
    <w:rPr>
      <w:kern w:val="2"/>
      <w:sz w:val="18"/>
      <w:szCs w:val="18"/>
    </w:rPr>
  </w:style>
  <w:style w:type="character" w:customStyle="1" w:styleId="61">
    <w:name w:val="段 Char"/>
    <w:basedOn w:val="14"/>
    <w:link w:val="27"/>
    <w:locked/>
    <w:uiPriority w:val="0"/>
    <w:rPr>
      <w:rFonts w:ascii="宋体"/>
      <w:sz w:val="21"/>
      <w:lang w:val="en-US" w:eastAsia="zh-CN" w:bidi="ar-SA"/>
    </w:rPr>
  </w:style>
  <w:style w:type="character" w:customStyle="1" w:styleId="62">
    <w:name w:val="标题 2 Char"/>
    <w:link w:val="3"/>
    <w:uiPriority w:val="0"/>
    <w:rPr>
      <w:rFonts w:ascii="Cambria" w:hAnsi="Cambria" w:eastAsia="宋体"/>
      <w:b/>
      <w:bCs/>
      <w:kern w:val="2"/>
      <w:sz w:val="24"/>
      <w:szCs w:val="32"/>
      <w:lang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1" Type="http://schemas.microsoft.com/office/2006/relationships/keyMapCustomizations" Target="customizations.xml"/><Relationship Id="rId10" Type="http://schemas.openxmlformats.org/officeDocument/2006/relationships/numbering" Target="numbering.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zzyt</Company>
  <Pages>21</Pages>
  <Words>2013</Words>
  <Characters>11477</Characters>
  <Lines>95</Lines>
  <Paragraphs>26</Paragraphs>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2016-06-03T12:12:00Z</dcterms:created>
  <dc:creator>lyf</dc:creator>
  <cp:lastModifiedBy>Mengxiangfeng</cp:lastModifiedBy>
  <cp:lastPrinted>2016-06-08T00:58:00Z</cp:lastPrinted>
  <dcterms:modified xsi:type="dcterms:W3CDTF">2016-06-08T04:29:54Z</dcterms:modified>
  <dc:title>营运客车燃料消耗量测量方法及限值</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