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54"/>
        <w:rPr>
          <w:color w:val="auto"/>
        </w:rPr>
      </w:pPr>
      <w:bookmarkStart w:id="0" w:name="_Toc452480279"/>
      <w:bookmarkStart w:id="1" w:name="_Toc450670902"/>
      <w:bookmarkStart w:id="2" w:name="_Toc451368524"/>
      <w:bookmarkStart w:id="3" w:name="_Toc452053906"/>
      <w:bookmarkStart w:id="4" w:name="_Toc451860867"/>
      <w:bookmarkStart w:id="5" w:name="_Toc451604291"/>
      <w:bookmarkStart w:id="6" w:name="_Toc452750822"/>
      <w:r>
        <w:rPr>
          <w:rFonts w:hint="eastAsia"/>
          <w:color w:val="auto"/>
        </w:rPr>
        <w:t>电动客车安全技术条件</w:t>
      </w:r>
      <w:bookmarkEnd w:id="0"/>
      <w:bookmarkEnd w:id="1"/>
      <w:bookmarkEnd w:id="2"/>
      <w:bookmarkEnd w:id="3"/>
      <w:bookmarkEnd w:id="4"/>
      <w:bookmarkEnd w:id="5"/>
      <w:bookmarkEnd w:id="6"/>
    </w:p>
    <w:p>
      <w:pPr>
        <w:pStyle w:val="49"/>
        <w:spacing w:before="312" w:after="312"/>
        <w:rPr>
          <w:color w:val="auto"/>
        </w:rPr>
      </w:pPr>
      <w:bookmarkStart w:id="7" w:name="_Toc450582975"/>
      <w:bookmarkStart w:id="8" w:name="_Toc452750823"/>
      <w:bookmarkStart w:id="9" w:name="_Toc450582361"/>
      <w:bookmarkStart w:id="10" w:name="_Toc450582266"/>
      <w:bookmarkStart w:id="11" w:name="_Toc450582088"/>
      <w:r>
        <w:rPr>
          <w:rFonts w:hint="eastAsia"/>
          <w:color w:val="auto"/>
        </w:rPr>
        <w:t>范围</w:t>
      </w:r>
      <w:bookmarkEnd w:id="7"/>
      <w:bookmarkEnd w:id="8"/>
      <w:bookmarkEnd w:id="9"/>
      <w:bookmarkEnd w:id="10"/>
      <w:bookmarkEnd w:id="11"/>
    </w:p>
    <w:p>
      <w:pPr>
        <w:pStyle w:val="27"/>
        <w:rPr>
          <w:rFonts w:hAnsi="宋体"/>
          <w:color w:val="auto"/>
        </w:rPr>
      </w:pPr>
      <w:r>
        <w:rPr>
          <w:rFonts w:hint="eastAsia" w:hAnsi="宋体"/>
          <w:color w:val="auto"/>
        </w:rPr>
        <w:t>本文件规定了电动客车的安全技术要求和试验方法。</w:t>
      </w:r>
    </w:p>
    <w:p>
      <w:pPr>
        <w:pStyle w:val="27"/>
        <w:rPr>
          <w:rFonts w:hAnsi="宋体"/>
          <w:color w:val="auto"/>
        </w:rPr>
      </w:pPr>
      <w:r>
        <w:rPr>
          <w:rFonts w:hint="eastAsia" w:hAnsi="宋体"/>
          <w:color w:val="auto"/>
        </w:rPr>
        <w:t>本文件适用于车长大于等于6m的电动客车，包括纯电动客车/城市客车、混合动力客车/城市客车（含插电式和增程式），燃料电池客车/城市客车参照使用。</w:t>
      </w:r>
    </w:p>
    <w:p>
      <w:pPr>
        <w:pStyle w:val="49"/>
        <w:spacing w:before="312" w:after="312"/>
        <w:rPr>
          <w:color w:val="auto"/>
        </w:rPr>
      </w:pPr>
      <w:bookmarkStart w:id="12" w:name="_Toc450582089"/>
      <w:bookmarkStart w:id="13" w:name="_Toc450582362"/>
      <w:bookmarkStart w:id="14" w:name="_Toc450582976"/>
      <w:bookmarkStart w:id="15" w:name="_Toc450582267"/>
      <w:bookmarkStart w:id="16" w:name="_Toc452750824"/>
      <w:r>
        <w:rPr>
          <w:rFonts w:hint="eastAsia"/>
          <w:color w:val="auto"/>
        </w:rPr>
        <w:t>规范性引用文件</w:t>
      </w:r>
      <w:bookmarkEnd w:id="12"/>
      <w:bookmarkEnd w:id="13"/>
      <w:bookmarkEnd w:id="14"/>
      <w:bookmarkEnd w:id="15"/>
      <w:bookmarkEnd w:id="16"/>
    </w:p>
    <w:p>
      <w:pPr>
        <w:pStyle w:val="27"/>
        <w:rPr>
          <w:color w:val="auto"/>
        </w:rPr>
      </w:pPr>
      <w:r>
        <w:rPr>
          <w:rFonts w:hint="eastAsia"/>
          <w:color w:val="auto"/>
        </w:rPr>
        <w:t>下列文件对于本文件的应用是必不可少的。凡是注日期的引用文件，仅所注日期的版本适用于本文件。凡是不注日期的引用文件，其最新版本（包括所有的修改单）适用于本文件。</w:t>
      </w:r>
    </w:p>
    <w:p>
      <w:pPr>
        <w:pStyle w:val="27"/>
        <w:rPr>
          <w:color w:val="auto"/>
        </w:rPr>
      </w:pPr>
      <w:r>
        <w:rPr>
          <w:color w:val="auto"/>
        </w:rPr>
        <w:t>GB/T 2408</w:t>
      </w:r>
      <w:r>
        <w:rPr>
          <w:rFonts w:hint="eastAsia" w:hAnsi="宋体"/>
          <w:color w:val="auto"/>
        </w:rPr>
        <w:t>—</w:t>
      </w:r>
      <w:r>
        <w:rPr>
          <w:color w:val="auto"/>
        </w:rPr>
        <w:t>2008</w:t>
      </w:r>
      <w:r>
        <w:rPr>
          <w:rFonts w:hint="eastAsia"/>
          <w:color w:val="auto"/>
        </w:rPr>
        <w:t xml:space="preserve">  塑料 燃烧性能的测定 水平法和垂直法</w:t>
      </w:r>
    </w:p>
    <w:p>
      <w:pPr>
        <w:pStyle w:val="27"/>
        <w:rPr>
          <w:color w:val="auto"/>
        </w:rPr>
      </w:pPr>
      <w:r>
        <w:rPr>
          <w:rFonts w:hint="eastAsia"/>
          <w:color w:val="auto"/>
        </w:rPr>
        <w:t>GB 4208</w:t>
      </w:r>
      <w:r>
        <w:rPr>
          <w:rFonts w:hint="eastAsia" w:hAnsi="宋体"/>
          <w:color w:val="auto"/>
        </w:rPr>
        <w:t>—</w:t>
      </w:r>
      <w:r>
        <w:rPr>
          <w:rFonts w:hint="eastAsia"/>
          <w:color w:val="auto"/>
        </w:rPr>
        <w:t>2008  外壳防护等级(IP代码)</w:t>
      </w:r>
    </w:p>
    <w:p>
      <w:pPr>
        <w:pStyle w:val="27"/>
        <w:rPr>
          <w:color w:val="auto"/>
        </w:rPr>
      </w:pPr>
      <w:r>
        <w:rPr>
          <w:rFonts w:hint="eastAsia"/>
          <w:color w:val="auto"/>
        </w:rPr>
        <w:t>GB 8410</w:t>
      </w:r>
      <w:r>
        <w:rPr>
          <w:rFonts w:hint="eastAsia" w:hAnsi="宋体"/>
          <w:color w:val="auto"/>
        </w:rPr>
        <w:t>—</w:t>
      </w:r>
      <w:r>
        <w:rPr>
          <w:rFonts w:hint="eastAsia"/>
          <w:color w:val="auto"/>
        </w:rPr>
        <w:t>2006  汽车内饰材料的燃烧特性</w:t>
      </w:r>
    </w:p>
    <w:p>
      <w:pPr>
        <w:pStyle w:val="27"/>
        <w:rPr>
          <w:color w:val="auto"/>
        </w:rPr>
      </w:pPr>
      <w:r>
        <w:rPr>
          <w:rFonts w:hint="eastAsia"/>
          <w:color w:val="auto"/>
        </w:rPr>
        <w:t>GB 8624</w:t>
      </w:r>
      <w:r>
        <w:rPr>
          <w:rFonts w:hint="eastAsia" w:hAnsi="宋体"/>
          <w:color w:val="auto"/>
        </w:rPr>
        <w:t>—</w:t>
      </w:r>
      <w:r>
        <w:rPr>
          <w:rFonts w:hint="eastAsia"/>
          <w:color w:val="auto"/>
        </w:rPr>
        <w:t>2012 建筑材料及制品燃烧性能分级</w:t>
      </w:r>
    </w:p>
    <w:p>
      <w:pPr>
        <w:pStyle w:val="27"/>
        <w:rPr>
          <w:color w:val="auto"/>
        </w:rPr>
      </w:pPr>
      <w:r>
        <w:rPr>
          <w:rFonts w:hint="eastAsia" w:hAnsi="宋体"/>
          <w:color w:val="auto"/>
        </w:rPr>
        <w:t>GB/T 1029</w:t>
      </w:r>
      <w:r>
        <w:rPr>
          <w:rFonts w:hint="eastAsia" w:hAnsi="宋体"/>
          <w:color w:val="auto"/>
          <w:lang w:val="en-US" w:eastAsia="zh-CN"/>
        </w:rPr>
        <w:t>4</w:t>
      </w:r>
      <w:r>
        <w:rPr>
          <w:rFonts w:hint="eastAsia" w:hAnsi="宋体"/>
          <w:color w:val="auto"/>
        </w:rPr>
        <w:t>—20</w:t>
      </w:r>
      <w:r>
        <w:rPr>
          <w:rFonts w:hint="eastAsia" w:hAnsi="宋体"/>
          <w:color w:val="auto"/>
          <w:lang w:val="en-US" w:eastAsia="zh-CN"/>
        </w:rPr>
        <w:t>08</w:t>
      </w:r>
      <w:r>
        <w:rPr>
          <w:rFonts w:hint="eastAsia" w:hAnsi="宋体"/>
          <w:color w:val="auto"/>
        </w:rPr>
        <w:t xml:space="preserve"> </w:t>
      </w:r>
      <w:r>
        <w:rPr>
          <w:rFonts w:hint="eastAsia" w:hAnsi="宋体"/>
          <w:color w:val="auto"/>
          <w:lang w:eastAsia="zh-CN"/>
        </w:rPr>
        <w:t>绝热材料稳态热阻及有关特性的测定</w:t>
      </w:r>
      <w:r>
        <w:rPr>
          <w:rFonts w:hint="eastAsia" w:hAnsi="宋体"/>
          <w:color w:val="auto"/>
          <w:lang w:val="en-US" w:eastAsia="zh-CN"/>
        </w:rPr>
        <w:t xml:space="preserve"> 防护热板法</w:t>
      </w:r>
    </w:p>
    <w:p>
      <w:pPr>
        <w:pStyle w:val="27"/>
        <w:rPr>
          <w:color w:val="auto"/>
        </w:rPr>
      </w:pPr>
      <w:r>
        <w:rPr>
          <w:color w:val="auto"/>
        </w:rPr>
        <w:fldChar w:fldCharType="begin"/>
      </w:r>
      <w:r>
        <w:rPr>
          <w:color w:val="auto"/>
        </w:rPr>
        <w:instrText xml:space="preserve"> HYPERLINK "http://10.8.0.138:8080/xitong/xilan.asp?id=7031&amp;T=bzNO&amp;W=13094" \t "tl" </w:instrText>
      </w:r>
      <w:r>
        <w:rPr>
          <w:color w:val="auto"/>
        </w:rPr>
        <w:fldChar w:fldCharType="separate"/>
      </w:r>
      <w:r>
        <w:rPr>
          <w:color w:val="auto"/>
        </w:rPr>
        <w:t>GB 13094</w:t>
      </w:r>
      <w:r>
        <w:rPr>
          <w:color w:val="auto"/>
        </w:rPr>
        <w:fldChar w:fldCharType="end"/>
      </w:r>
      <w:r>
        <w:rPr>
          <w:rFonts w:hint="eastAsia"/>
          <w:color w:val="auto"/>
        </w:rPr>
        <w:t xml:space="preserve">  </w:t>
      </w:r>
      <w:r>
        <w:rPr>
          <w:color w:val="auto"/>
        </w:rPr>
        <w:t>客车结构安全要求</w:t>
      </w:r>
    </w:p>
    <w:p>
      <w:pPr>
        <w:pStyle w:val="27"/>
        <w:rPr>
          <w:color w:val="auto"/>
        </w:rPr>
      </w:pPr>
      <w:r>
        <w:rPr>
          <w:color w:val="auto"/>
        </w:rPr>
        <w:t>GB 17578</w:t>
      </w:r>
      <w:r>
        <w:rPr>
          <w:rFonts w:hint="eastAsia" w:hAnsi="宋体"/>
          <w:color w:val="auto"/>
        </w:rPr>
        <w:t>—</w:t>
      </w:r>
      <w:r>
        <w:rPr>
          <w:rFonts w:hint="eastAsia"/>
          <w:color w:val="auto"/>
        </w:rPr>
        <w:t>2013  客车上部结构强度要求及试验方法</w:t>
      </w:r>
    </w:p>
    <w:p>
      <w:pPr>
        <w:pStyle w:val="27"/>
        <w:rPr>
          <w:color w:val="auto"/>
        </w:rPr>
      </w:pPr>
      <w:r>
        <w:rPr>
          <w:color w:val="auto"/>
        </w:rPr>
        <w:fldChar w:fldCharType="begin"/>
      </w:r>
      <w:r>
        <w:rPr>
          <w:color w:val="auto"/>
        </w:rPr>
        <w:instrText xml:space="preserve"> HYPERLINK "http://10.8.0.138:8080/xitong/xilan.asp?id=35842&amp;T=bzNO&amp;W=18384" \t "tl" </w:instrText>
      </w:r>
      <w:r>
        <w:rPr>
          <w:color w:val="auto"/>
        </w:rPr>
        <w:fldChar w:fldCharType="separate"/>
      </w:r>
      <w:r>
        <w:rPr>
          <w:color w:val="auto"/>
        </w:rPr>
        <w:t>GB/T 18384.3</w:t>
      </w:r>
      <w:r>
        <w:rPr>
          <w:rFonts w:hint="eastAsia" w:hAnsi="宋体"/>
          <w:color w:val="auto"/>
        </w:rPr>
        <w:t>—</w:t>
      </w:r>
      <w:r>
        <w:rPr>
          <w:color w:val="auto"/>
        </w:rPr>
        <w:t>2015</w:t>
      </w:r>
      <w:r>
        <w:rPr>
          <w:color w:val="auto"/>
        </w:rPr>
        <w:fldChar w:fldCharType="end"/>
      </w:r>
      <w:r>
        <w:rPr>
          <w:rFonts w:hint="eastAsia"/>
          <w:color w:val="auto"/>
        </w:rPr>
        <w:t xml:space="preserve">  </w:t>
      </w:r>
      <w:r>
        <w:rPr>
          <w:color w:val="auto"/>
        </w:rPr>
        <w:t>电动汽车 安全要求 第3部分：人员触电防护</w:t>
      </w:r>
    </w:p>
    <w:p>
      <w:pPr>
        <w:pStyle w:val="27"/>
        <w:rPr>
          <w:color w:val="auto"/>
        </w:rPr>
      </w:pPr>
      <w:r>
        <w:rPr>
          <w:rFonts w:hint="eastAsia"/>
          <w:color w:val="auto"/>
        </w:rPr>
        <w:t>GB/T 19596  电动汽车术语</w:t>
      </w:r>
    </w:p>
    <w:p>
      <w:pPr>
        <w:pStyle w:val="27"/>
        <w:rPr>
          <w:color w:val="auto"/>
        </w:rPr>
      </w:pPr>
      <w:r>
        <w:rPr>
          <w:rFonts w:hint="eastAsia"/>
          <w:color w:val="auto"/>
        </w:rPr>
        <w:t>GB 20071</w:t>
      </w:r>
      <w:r>
        <w:rPr>
          <w:rFonts w:hint="eastAsia" w:hAnsi="宋体"/>
          <w:color w:val="auto"/>
        </w:rPr>
        <w:t>—</w:t>
      </w:r>
      <w:r>
        <w:rPr>
          <w:rFonts w:hint="eastAsia"/>
          <w:color w:val="auto"/>
        </w:rPr>
        <w:t>2006  汽车侧面碰撞的乘员保护</w:t>
      </w:r>
    </w:p>
    <w:p>
      <w:pPr>
        <w:pStyle w:val="27"/>
        <w:rPr>
          <w:color w:val="auto"/>
        </w:rPr>
      </w:pPr>
      <w:r>
        <w:rPr>
          <w:rFonts w:hint="eastAsia"/>
          <w:color w:val="auto"/>
        </w:rPr>
        <w:t>GB/T 31498</w:t>
      </w:r>
      <w:r>
        <w:rPr>
          <w:rFonts w:hint="eastAsia" w:hAnsi="宋体"/>
          <w:color w:val="auto"/>
        </w:rPr>
        <w:t>—</w:t>
      </w:r>
      <w:r>
        <w:rPr>
          <w:rFonts w:hint="eastAsia"/>
          <w:color w:val="auto"/>
        </w:rPr>
        <w:t>2015  电动汽车碰撞后安全要求</w:t>
      </w:r>
    </w:p>
    <w:p>
      <w:pPr>
        <w:pStyle w:val="27"/>
        <w:rPr>
          <w:rFonts w:hint="eastAsia" w:hAnsi="宋体"/>
          <w:color w:val="auto"/>
        </w:rPr>
      </w:pPr>
      <w:r>
        <w:rPr>
          <w:rFonts w:hint="eastAsia" w:hAnsi="宋体"/>
          <w:color w:val="auto"/>
        </w:rPr>
        <w:t>QC/T 29106—2014  汽车电线束技术条件</w:t>
      </w:r>
    </w:p>
    <w:p>
      <w:pPr>
        <w:pStyle w:val="27"/>
        <w:rPr>
          <w:rFonts w:hint="eastAsia" w:hAnsi="宋体" w:eastAsia="宋体"/>
          <w:color w:val="auto"/>
          <w:lang w:val="en-US" w:eastAsia="zh-CN"/>
        </w:rPr>
      </w:pPr>
      <w:r>
        <w:rPr>
          <w:rFonts w:hint="eastAsia" w:hAnsi="宋体"/>
          <w:color w:val="auto"/>
          <w:lang w:val="en-US" w:eastAsia="zh-CN"/>
        </w:rPr>
        <w:t>ISO 6487  碰撞试验测量技术：检测仪器（Road vehicle-Measurement techniques in impact tests-Instrumentation）</w:t>
      </w:r>
    </w:p>
    <w:p>
      <w:pPr>
        <w:pStyle w:val="49"/>
        <w:spacing w:before="312" w:after="312"/>
        <w:rPr>
          <w:color w:val="auto"/>
        </w:rPr>
      </w:pPr>
      <w:bookmarkStart w:id="17" w:name="_Toc451604294"/>
      <w:bookmarkEnd w:id="17"/>
      <w:bookmarkStart w:id="18" w:name="_Toc450582363"/>
      <w:bookmarkStart w:id="19" w:name="_Toc450582268"/>
      <w:bookmarkStart w:id="20" w:name="_Toc450582090"/>
      <w:bookmarkStart w:id="21" w:name="_Toc450582977"/>
      <w:bookmarkStart w:id="22" w:name="_Toc452750825"/>
      <w:bookmarkStart w:id="169" w:name="_GoBack"/>
      <w:bookmarkEnd w:id="169"/>
      <w:r>
        <w:rPr>
          <w:rFonts w:hint="eastAsia"/>
          <w:color w:val="auto"/>
        </w:rPr>
        <w:t>术语和定义</w:t>
      </w:r>
      <w:bookmarkEnd w:id="18"/>
      <w:bookmarkEnd w:id="19"/>
      <w:bookmarkEnd w:id="20"/>
      <w:bookmarkEnd w:id="21"/>
      <w:bookmarkEnd w:id="22"/>
    </w:p>
    <w:p>
      <w:pPr>
        <w:pStyle w:val="27"/>
        <w:rPr>
          <w:color w:val="auto"/>
        </w:rPr>
      </w:pPr>
      <w:r>
        <w:rPr>
          <w:color w:val="auto"/>
        </w:rPr>
        <w:fldChar w:fldCharType="begin"/>
      </w:r>
      <w:r>
        <w:rPr>
          <w:color w:val="auto"/>
        </w:rPr>
        <w:instrText xml:space="preserve"> HYPERLINK "http://10.8.0.138:8080/xitong/xilan.asp?id=7031&amp;T=bzNO&amp;W=13094" \t "tl" </w:instrText>
      </w:r>
      <w:r>
        <w:rPr>
          <w:color w:val="auto"/>
        </w:rPr>
        <w:fldChar w:fldCharType="separate"/>
      </w:r>
      <w:r>
        <w:rPr>
          <w:color w:val="auto"/>
        </w:rPr>
        <w:t>GB 13094</w:t>
      </w:r>
      <w:r>
        <w:rPr>
          <w:color w:val="auto"/>
        </w:rPr>
        <w:fldChar w:fldCharType="end"/>
      </w:r>
      <w:r>
        <w:rPr>
          <w:rFonts w:hint="eastAsia"/>
          <w:color w:val="auto"/>
        </w:rPr>
        <w:t>、GB/T 18384.3</w:t>
      </w:r>
      <w:r>
        <w:rPr>
          <w:rFonts w:hint="eastAsia" w:hAnsi="宋体"/>
          <w:color w:val="auto"/>
        </w:rPr>
        <w:t>—</w:t>
      </w:r>
      <w:r>
        <w:rPr>
          <w:rFonts w:hint="eastAsia"/>
          <w:color w:val="auto"/>
        </w:rPr>
        <w:t>2015、GB/T 19596确立的及下列术语和定义适用于本文件。</w:t>
      </w:r>
    </w:p>
    <w:p>
      <w:pPr>
        <w:pStyle w:val="126"/>
        <w:spacing w:before="78" w:after="78"/>
        <w:rPr>
          <w:rFonts w:asciiTheme="minorEastAsia" w:hAnsiTheme="minorEastAsia" w:eastAsiaTheme="minorEastAsia"/>
          <w:color w:val="auto"/>
        </w:rPr>
      </w:pPr>
      <w:bookmarkStart w:id="23" w:name="_Toc450582776"/>
      <w:bookmarkEnd w:id="23"/>
      <w:bookmarkStart w:id="24" w:name="_Toc450582978"/>
      <w:bookmarkEnd w:id="24"/>
    </w:p>
    <w:p>
      <w:pPr>
        <w:pStyle w:val="27"/>
        <w:spacing w:beforeLines="50" w:afterLines="50"/>
        <w:rPr>
          <w:rFonts w:asciiTheme="minorEastAsia" w:hAnsiTheme="minorEastAsia" w:eastAsiaTheme="minorEastAsia"/>
          <w:color w:val="auto"/>
        </w:rPr>
      </w:pPr>
      <w:r>
        <w:rPr>
          <w:rFonts w:hint="eastAsia" w:asciiTheme="minorEastAsia" w:hAnsiTheme="minorEastAsia" w:eastAsiaTheme="minorEastAsia"/>
          <w:color w:val="auto"/>
        </w:rPr>
        <w:t>热失控</w:t>
      </w:r>
      <w:r>
        <w:rPr>
          <w:rFonts w:asciiTheme="minorEastAsia" w:hAnsiTheme="minorEastAsia" w:eastAsiaTheme="minorEastAsia"/>
          <w:color w:val="auto"/>
        </w:rPr>
        <w:t xml:space="preserve">  thermal runaway</w:t>
      </w:r>
    </w:p>
    <w:p>
      <w:pPr>
        <w:pStyle w:val="67"/>
        <w:numPr>
          <w:ilvl w:val="0"/>
          <w:numId w:val="0"/>
        </w:numPr>
        <w:tabs>
          <w:tab w:val="clear" w:pos="0"/>
          <w:tab w:val="clear" w:pos="839"/>
        </w:tabs>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单体蓄电池内放热反应引起不可控温升的现象。</w:t>
      </w:r>
    </w:p>
    <w:p>
      <w:pPr>
        <w:pStyle w:val="126"/>
        <w:rPr>
          <w:rFonts w:asciiTheme="minorEastAsia" w:hAnsiTheme="minorEastAsia" w:eastAsiaTheme="minorEastAsia"/>
          <w:color w:val="auto"/>
        </w:rPr>
      </w:pPr>
      <w:bookmarkStart w:id="25" w:name="_Toc450582979"/>
      <w:bookmarkEnd w:id="25"/>
      <w:bookmarkStart w:id="26" w:name="_Toc450582777"/>
      <w:bookmarkEnd w:id="26"/>
    </w:p>
    <w:p>
      <w:pPr>
        <w:pStyle w:val="27"/>
        <w:spacing w:beforeLines="50" w:afterLines="50"/>
        <w:rPr>
          <w:rFonts w:asciiTheme="minorEastAsia" w:hAnsiTheme="minorEastAsia" w:eastAsiaTheme="minorEastAsia"/>
          <w:color w:val="auto"/>
        </w:rPr>
      </w:pPr>
      <w:r>
        <w:rPr>
          <w:rFonts w:hint="eastAsia" w:asciiTheme="minorEastAsia" w:hAnsiTheme="minorEastAsia" w:eastAsiaTheme="minorEastAsia"/>
          <w:color w:val="auto"/>
        </w:rPr>
        <w:t xml:space="preserve">热失控扩展  </w:t>
      </w:r>
      <w:r>
        <w:rPr>
          <w:rFonts w:asciiTheme="minorEastAsia" w:hAnsiTheme="minorEastAsia" w:eastAsiaTheme="minorEastAsia"/>
          <w:color w:val="auto"/>
        </w:rPr>
        <w:t>thermal runaway propagation</w:t>
      </w:r>
    </w:p>
    <w:p>
      <w:pPr>
        <w:pStyle w:val="67"/>
        <w:numPr>
          <w:ilvl w:val="0"/>
          <w:numId w:val="0"/>
        </w:numPr>
        <w:tabs>
          <w:tab w:val="clear" w:pos="0"/>
          <w:tab w:val="clear" w:pos="839"/>
        </w:tabs>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蓄电池包或系统内部的单体蓄电池或单体蓄电池单元热失控，并触发该蓄电池系统中相邻或其他部位蓄电池热失控的现象。</w:t>
      </w:r>
    </w:p>
    <w:p>
      <w:pPr>
        <w:pStyle w:val="126"/>
        <w:rPr>
          <w:rFonts w:asciiTheme="minorEastAsia" w:hAnsiTheme="minorEastAsia" w:eastAsiaTheme="minorEastAsia"/>
          <w:color w:val="auto"/>
        </w:rPr>
      </w:pPr>
    </w:p>
    <w:p>
      <w:pPr>
        <w:pStyle w:val="27"/>
        <w:spacing w:beforeLines="50" w:afterLines="50"/>
        <w:rPr>
          <w:rFonts w:asciiTheme="minorEastAsia" w:hAnsiTheme="minorEastAsia" w:eastAsiaTheme="minorEastAsia"/>
          <w:color w:val="auto"/>
        </w:rPr>
      </w:pPr>
      <w:r>
        <w:rPr>
          <w:rFonts w:hint="eastAsia" w:asciiTheme="minorEastAsia" w:hAnsiTheme="minorEastAsia" w:eastAsiaTheme="minorEastAsia"/>
          <w:color w:val="auto"/>
        </w:rPr>
        <w:t>热事故信号</w:t>
      </w:r>
      <w:r>
        <w:rPr>
          <w:rFonts w:asciiTheme="minorEastAsia" w:hAnsiTheme="minorEastAsia" w:eastAsiaTheme="minorEastAsia"/>
          <w:color w:val="auto"/>
        </w:rPr>
        <w:t xml:space="preserve"> thermal event signal</w:t>
      </w:r>
    </w:p>
    <w:p>
      <w:pPr>
        <w:pStyle w:val="67"/>
        <w:numPr>
          <w:ilvl w:val="0"/>
          <w:numId w:val="0"/>
        </w:numPr>
        <w:tabs>
          <w:tab w:val="clear" w:pos="0"/>
          <w:tab w:val="clear" w:pos="839"/>
        </w:tabs>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蓄电池系统内发生热失控时发出的信号。</w:t>
      </w:r>
    </w:p>
    <w:p>
      <w:pPr>
        <w:pStyle w:val="126"/>
        <w:rPr>
          <w:rFonts w:asciiTheme="minorEastAsia" w:hAnsiTheme="minorEastAsia" w:eastAsiaTheme="minorEastAsia"/>
          <w:color w:val="auto"/>
        </w:rPr>
      </w:pPr>
    </w:p>
    <w:p>
      <w:pPr>
        <w:pStyle w:val="27"/>
        <w:spacing w:beforeLines="50" w:afterLines="50"/>
        <w:rPr>
          <w:rFonts w:asciiTheme="minorEastAsia" w:hAnsiTheme="minorEastAsia" w:eastAsiaTheme="minorEastAsia"/>
          <w:color w:val="auto"/>
        </w:rPr>
      </w:pPr>
      <w:r>
        <w:rPr>
          <w:rFonts w:hint="eastAsia" w:asciiTheme="minorEastAsia" w:hAnsiTheme="minorEastAsia" w:eastAsiaTheme="minorEastAsia"/>
          <w:color w:val="auto"/>
        </w:rPr>
        <w:t>圆柱电池</w:t>
      </w:r>
      <w:r>
        <w:rPr>
          <w:rFonts w:asciiTheme="minorEastAsia" w:hAnsiTheme="minorEastAsia" w:eastAsiaTheme="minorEastAsia"/>
          <w:color w:val="auto"/>
        </w:rPr>
        <w:t xml:space="preserve"> cylindrical cell</w:t>
      </w:r>
    </w:p>
    <w:p>
      <w:pPr>
        <w:pStyle w:val="67"/>
        <w:numPr>
          <w:ilvl w:val="0"/>
          <w:numId w:val="0"/>
        </w:numPr>
        <w:tabs>
          <w:tab w:val="clear" w:pos="0"/>
          <w:tab w:val="clear" w:pos="839"/>
        </w:tabs>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具有圆柱形硬质外壳的单体蓄电池。</w:t>
      </w:r>
    </w:p>
    <w:p>
      <w:pPr>
        <w:pStyle w:val="126"/>
        <w:rPr>
          <w:rFonts w:asciiTheme="minorEastAsia" w:hAnsiTheme="minorEastAsia" w:eastAsiaTheme="minorEastAsia"/>
          <w:color w:val="auto"/>
        </w:rPr>
      </w:pPr>
    </w:p>
    <w:p>
      <w:pPr>
        <w:pStyle w:val="27"/>
        <w:spacing w:beforeLines="50" w:afterLines="50"/>
        <w:rPr>
          <w:rFonts w:asciiTheme="minorEastAsia" w:hAnsiTheme="minorEastAsia" w:eastAsiaTheme="minorEastAsia"/>
          <w:color w:val="auto"/>
        </w:rPr>
      </w:pPr>
      <w:r>
        <w:rPr>
          <w:rFonts w:hint="eastAsia" w:asciiTheme="minorEastAsia" w:hAnsiTheme="minorEastAsia" w:eastAsiaTheme="minorEastAsia"/>
          <w:color w:val="auto"/>
        </w:rPr>
        <w:t>方形电池</w:t>
      </w:r>
      <w:r>
        <w:rPr>
          <w:rFonts w:asciiTheme="minorEastAsia" w:hAnsiTheme="minorEastAsia" w:eastAsiaTheme="minorEastAsia"/>
          <w:color w:val="auto"/>
        </w:rPr>
        <w:t xml:space="preserve"> prismatic cell</w:t>
      </w:r>
    </w:p>
    <w:p>
      <w:pPr>
        <w:pStyle w:val="67"/>
        <w:numPr>
          <w:ilvl w:val="0"/>
          <w:numId w:val="0"/>
        </w:numPr>
        <w:tabs>
          <w:tab w:val="clear" w:pos="0"/>
          <w:tab w:val="clear" w:pos="839"/>
        </w:tabs>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具有方形硬质外壳的单体蓄电池。</w:t>
      </w:r>
    </w:p>
    <w:p>
      <w:pPr>
        <w:pStyle w:val="126"/>
        <w:rPr>
          <w:rFonts w:asciiTheme="minorEastAsia" w:hAnsiTheme="minorEastAsia" w:eastAsiaTheme="minorEastAsia"/>
          <w:color w:val="auto"/>
        </w:rPr>
      </w:pPr>
    </w:p>
    <w:p>
      <w:pPr>
        <w:pStyle w:val="27"/>
        <w:spacing w:beforeLines="50" w:afterLines="50"/>
        <w:rPr>
          <w:rFonts w:asciiTheme="minorEastAsia" w:hAnsiTheme="minorEastAsia" w:eastAsiaTheme="minorEastAsia"/>
          <w:color w:val="auto"/>
        </w:rPr>
      </w:pPr>
      <w:r>
        <w:rPr>
          <w:rFonts w:hint="eastAsia" w:asciiTheme="minorEastAsia" w:hAnsiTheme="minorEastAsia" w:eastAsiaTheme="minorEastAsia"/>
          <w:color w:val="auto"/>
        </w:rPr>
        <w:t>软包电池</w:t>
      </w:r>
      <w:r>
        <w:rPr>
          <w:rFonts w:asciiTheme="minorEastAsia" w:hAnsiTheme="minorEastAsia" w:eastAsiaTheme="minorEastAsia"/>
          <w:color w:val="auto"/>
        </w:rPr>
        <w:t xml:space="preserve"> pouch cell</w:t>
      </w:r>
    </w:p>
    <w:p>
      <w:pPr>
        <w:pStyle w:val="67"/>
        <w:numPr>
          <w:ilvl w:val="0"/>
          <w:numId w:val="0"/>
        </w:numPr>
        <w:tabs>
          <w:tab w:val="clear" w:pos="0"/>
          <w:tab w:val="clear" w:pos="839"/>
        </w:tabs>
        <w:ind w:firstLine="420" w:firstLineChars="200"/>
        <w:rPr>
          <w:rFonts w:asciiTheme="minorEastAsia" w:hAnsiTheme="minorEastAsia" w:eastAsiaTheme="minorEastAsia"/>
          <w:color w:val="auto"/>
        </w:rPr>
      </w:pPr>
      <w:r>
        <w:rPr>
          <w:rFonts w:hint="eastAsia" w:asciiTheme="minorEastAsia" w:hAnsiTheme="minorEastAsia" w:eastAsiaTheme="minorEastAsia"/>
          <w:color w:val="auto"/>
        </w:rPr>
        <w:t>具有叠层复合金属箔外壳的单体蓄电池。</w:t>
      </w:r>
    </w:p>
    <w:p>
      <w:pPr>
        <w:pStyle w:val="49"/>
        <w:spacing w:before="312" w:after="312"/>
        <w:rPr>
          <w:color w:val="auto"/>
        </w:rPr>
      </w:pPr>
      <w:bookmarkStart w:id="27" w:name="_Toc450582980"/>
      <w:bookmarkEnd w:id="27"/>
      <w:bookmarkStart w:id="28" w:name="_Toc451604308"/>
      <w:bookmarkEnd w:id="28"/>
      <w:bookmarkStart w:id="29" w:name="_Toc450582983"/>
      <w:bookmarkEnd w:id="29"/>
      <w:bookmarkStart w:id="30" w:name="_Toc451281159"/>
      <w:bookmarkEnd w:id="30"/>
      <w:bookmarkStart w:id="31" w:name="_Toc451244636"/>
      <w:bookmarkEnd w:id="31"/>
      <w:bookmarkStart w:id="32" w:name="_Toc451604299"/>
      <w:bookmarkEnd w:id="32"/>
      <w:bookmarkStart w:id="33" w:name="_Toc451604306"/>
      <w:bookmarkEnd w:id="33"/>
      <w:bookmarkStart w:id="34" w:name="_Toc451604301"/>
      <w:bookmarkEnd w:id="34"/>
      <w:bookmarkStart w:id="35" w:name="_Toc451241342"/>
      <w:bookmarkEnd w:id="35"/>
      <w:bookmarkStart w:id="36" w:name="_Toc450582778"/>
      <w:bookmarkEnd w:id="36"/>
      <w:bookmarkStart w:id="37" w:name="_Toc451368529"/>
      <w:bookmarkEnd w:id="37"/>
      <w:bookmarkStart w:id="38" w:name="_Toc450582783"/>
      <w:bookmarkEnd w:id="38"/>
      <w:bookmarkStart w:id="39" w:name="_Toc451348088"/>
      <w:bookmarkEnd w:id="39"/>
      <w:bookmarkStart w:id="40" w:name="_Toc450582981"/>
      <w:bookmarkEnd w:id="40"/>
      <w:bookmarkStart w:id="41" w:name="_Toc451604302"/>
      <w:bookmarkEnd w:id="41"/>
      <w:bookmarkStart w:id="42" w:name="_Toc451281157"/>
      <w:bookmarkEnd w:id="42"/>
      <w:bookmarkStart w:id="43" w:name="_Toc451604303"/>
      <w:bookmarkEnd w:id="43"/>
      <w:bookmarkStart w:id="44" w:name="_Toc451604300"/>
      <w:bookmarkEnd w:id="44"/>
      <w:bookmarkStart w:id="45" w:name="_Toc451604304"/>
      <w:bookmarkEnd w:id="45"/>
      <w:bookmarkStart w:id="46" w:name="_Toc450582779"/>
      <w:bookmarkEnd w:id="46"/>
      <w:bookmarkStart w:id="47" w:name="_Toc451243300"/>
      <w:bookmarkEnd w:id="47"/>
      <w:bookmarkStart w:id="48" w:name="_Toc451604307"/>
      <w:bookmarkEnd w:id="48"/>
      <w:bookmarkStart w:id="49" w:name="_Toc451604296"/>
      <w:bookmarkEnd w:id="49"/>
      <w:bookmarkStart w:id="50" w:name="_Toc451604298"/>
      <w:bookmarkEnd w:id="50"/>
      <w:bookmarkStart w:id="51" w:name="_Toc450582985"/>
      <w:bookmarkEnd w:id="51"/>
      <w:bookmarkStart w:id="52" w:name="_Toc451244637"/>
      <w:bookmarkEnd w:id="52"/>
      <w:bookmarkStart w:id="53" w:name="_Toc451243299"/>
      <w:bookmarkEnd w:id="53"/>
      <w:bookmarkStart w:id="54" w:name="_Toc451281158"/>
      <w:bookmarkEnd w:id="54"/>
      <w:bookmarkStart w:id="55" w:name="_Toc451604305"/>
      <w:bookmarkEnd w:id="55"/>
      <w:bookmarkStart w:id="56" w:name="_Toc451242789"/>
      <w:bookmarkEnd w:id="56"/>
      <w:bookmarkStart w:id="57" w:name="_Toc451368530"/>
      <w:bookmarkEnd w:id="57"/>
      <w:bookmarkStart w:id="58" w:name="_Toc451348087"/>
      <w:bookmarkEnd w:id="58"/>
      <w:bookmarkStart w:id="59" w:name="_Toc451241341"/>
      <w:bookmarkEnd w:id="59"/>
      <w:bookmarkStart w:id="60" w:name="_Toc450582781"/>
      <w:bookmarkEnd w:id="60"/>
      <w:bookmarkStart w:id="61" w:name="_Toc451242788"/>
      <w:bookmarkEnd w:id="61"/>
      <w:bookmarkStart w:id="62" w:name="_Toc451368528"/>
      <w:bookmarkEnd w:id="62"/>
      <w:bookmarkStart w:id="63" w:name="_Toc451604297"/>
      <w:bookmarkEnd w:id="63"/>
      <w:bookmarkStart w:id="64" w:name="_Toc451348086"/>
      <w:bookmarkEnd w:id="64"/>
      <w:bookmarkStart w:id="65" w:name="_Toc450582987"/>
      <w:bookmarkStart w:id="66" w:name="_Toc450582364"/>
      <w:bookmarkStart w:id="67" w:name="_Toc450582269"/>
      <w:bookmarkStart w:id="68" w:name="_Toc450582091"/>
      <w:bookmarkStart w:id="69" w:name="_Toc452750826"/>
      <w:r>
        <w:rPr>
          <w:rFonts w:hint="eastAsia"/>
          <w:color w:val="auto"/>
        </w:rPr>
        <w:t>技术要求</w:t>
      </w:r>
      <w:bookmarkEnd w:id="65"/>
      <w:bookmarkEnd w:id="66"/>
      <w:bookmarkEnd w:id="67"/>
      <w:bookmarkEnd w:id="68"/>
      <w:r>
        <w:rPr>
          <w:rFonts w:hint="eastAsia"/>
          <w:color w:val="auto"/>
        </w:rPr>
        <w:t>和试验方法</w:t>
      </w:r>
      <w:bookmarkEnd w:id="69"/>
    </w:p>
    <w:p>
      <w:pPr>
        <w:pStyle w:val="46"/>
        <w:spacing w:before="156" w:after="156"/>
        <w:ind w:left="0"/>
        <w:rPr>
          <w:color w:val="auto"/>
        </w:rPr>
      </w:pPr>
      <w:bookmarkStart w:id="70" w:name="_Toc452750827"/>
      <w:r>
        <w:rPr>
          <w:rFonts w:hint="eastAsia"/>
          <w:color w:val="auto"/>
        </w:rPr>
        <w:t>总则</w:t>
      </w:r>
      <w:bookmarkEnd w:id="70"/>
    </w:p>
    <w:p>
      <w:pPr>
        <w:pStyle w:val="67"/>
        <w:numPr>
          <w:ilvl w:val="0"/>
          <w:numId w:val="0"/>
        </w:numPr>
        <w:tabs>
          <w:tab w:val="clear" w:pos="0"/>
          <w:tab w:val="clear" w:pos="839"/>
        </w:tabs>
        <w:ind w:firstLine="420" w:firstLineChars="200"/>
        <w:rPr>
          <w:color w:val="auto"/>
        </w:rPr>
      </w:pPr>
      <w:r>
        <w:rPr>
          <w:rFonts w:hint="eastAsia"/>
          <w:color w:val="auto"/>
        </w:rPr>
        <w:t>电动客车应符合本文件的要求。</w:t>
      </w:r>
    </w:p>
    <w:p>
      <w:pPr>
        <w:pStyle w:val="46"/>
        <w:spacing w:before="156" w:after="156"/>
        <w:ind w:left="0"/>
        <w:rPr>
          <w:color w:val="auto"/>
        </w:rPr>
      </w:pPr>
      <w:bookmarkStart w:id="71" w:name="_Toc452750828"/>
      <w:r>
        <w:rPr>
          <w:rFonts w:hint="eastAsia"/>
          <w:color w:val="auto"/>
        </w:rPr>
        <w:t>防水防尘性能</w:t>
      </w:r>
      <w:bookmarkEnd w:id="71"/>
    </w:p>
    <w:p>
      <w:pPr>
        <w:pStyle w:val="67"/>
        <w:rPr>
          <w:color w:val="auto"/>
        </w:rPr>
      </w:pPr>
      <w:r>
        <w:rPr>
          <w:rFonts w:hint="eastAsia"/>
          <w:color w:val="auto"/>
        </w:rPr>
        <w:t>车辆应在</w:t>
      </w:r>
      <w:r>
        <w:rPr>
          <w:rFonts w:asciiTheme="minorEastAsia" w:hAnsiTheme="minorEastAsia" w:eastAsiaTheme="minorEastAsia"/>
          <w:color w:val="auto"/>
          <w:kern w:val="2"/>
          <w:szCs w:val="24"/>
        </w:rPr>
        <w:t>30</w:t>
      </w:r>
      <w:r>
        <w:rPr>
          <w:rFonts w:hint="eastAsia" w:asciiTheme="minorEastAsia" w:hAnsiTheme="minorEastAsia" w:eastAsiaTheme="minorEastAsia"/>
          <w:color w:val="auto"/>
          <w:kern w:val="2"/>
          <w:szCs w:val="24"/>
        </w:rPr>
        <w:t xml:space="preserve"> </w:t>
      </w:r>
      <w:r>
        <w:rPr>
          <w:rFonts w:asciiTheme="minorEastAsia" w:hAnsiTheme="minorEastAsia" w:eastAsiaTheme="minorEastAsia"/>
          <w:color w:val="auto"/>
          <w:kern w:val="2"/>
          <w:szCs w:val="24"/>
        </w:rPr>
        <w:t>cm</w:t>
      </w:r>
      <w:r>
        <w:rPr>
          <w:rFonts w:hint="eastAsia"/>
          <w:color w:val="auto"/>
        </w:rPr>
        <w:t>水深的水池中，以</w:t>
      </w:r>
      <w:r>
        <w:rPr>
          <w:rFonts w:hint="eastAsia" w:asciiTheme="minorEastAsia" w:hAnsiTheme="minorEastAsia" w:eastAsiaTheme="minorEastAsia"/>
          <w:color w:val="auto"/>
          <w:kern w:val="2"/>
          <w:szCs w:val="24"/>
        </w:rPr>
        <w:t>5～10</w:t>
      </w:r>
      <w:r>
        <w:rPr>
          <w:rFonts w:asciiTheme="minorEastAsia" w:hAnsiTheme="minorEastAsia" w:eastAsiaTheme="minorEastAsia"/>
          <w:color w:val="auto"/>
          <w:kern w:val="2"/>
          <w:szCs w:val="24"/>
        </w:rPr>
        <w:t xml:space="preserve"> km/h</w:t>
      </w:r>
      <w:r>
        <w:rPr>
          <w:rFonts w:hint="eastAsia"/>
          <w:color w:val="auto"/>
        </w:rPr>
        <w:t>的速度行驶</w:t>
      </w:r>
      <w:r>
        <w:rPr>
          <w:rFonts w:hint="eastAsia" w:asciiTheme="minorEastAsia" w:hAnsiTheme="minorEastAsia" w:eastAsiaTheme="minorEastAsia"/>
          <w:color w:val="auto"/>
          <w:kern w:val="2"/>
          <w:szCs w:val="24"/>
        </w:rPr>
        <w:t>5</w:t>
      </w:r>
      <w:r>
        <w:rPr>
          <w:rFonts w:asciiTheme="minorEastAsia" w:hAnsiTheme="minorEastAsia" w:eastAsiaTheme="minorEastAsia"/>
          <w:color w:val="auto"/>
          <w:kern w:val="2"/>
          <w:szCs w:val="24"/>
        </w:rPr>
        <w:t>00</w:t>
      </w:r>
      <w:r>
        <w:rPr>
          <w:rFonts w:hint="eastAsia" w:asciiTheme="minorEastAsia" w:hAnsiTheme="minorEastAsia" w:eastAsiaTheme="minorEastAsia"/>
          <w:color w:val="auto"/>
          <w:kern w:val="2"/>
          <w:szCs w:val="24"/>
        </w:rPr>
        <w:t xml:space="preserve"> </w:t>
      </w:r>
      <w:r>
        <w:rPr>
          <w:rFonts w:asciiTheme="minorEastAsia" w:hAnsiTheme="minorEastAsia" w:eastAsiaTheme="minorEastAsia"/>
          <w:color w:val="auto"/>
          <w:kern w:val="2"/>
          <w:szCs w:val="24"/>
        </w:rPr>
        <w:t>m</w:t>
      </w:r>
      <w:r>
        <w:rPr>
          <w:rFonts w:hint="eastAsia"/>
          <w:color w:val="auto"/>
        </w:rPr>
        <w:t>，完成涉水试验，时间</w:t>
      </w:r>
      <w:r>
        <w:rPr>
          <w:rFonts w:hint="eastAsia" w:asciiTheme="minorEastAsia" w:hAnsiTheme="minorEastAsia" w:eastAsiaTheme="minorEastAsia"/>
          <w:color w:val="auto"/>
          <w:kern w:val="2"/>
          <w:szCs w:val="24"/>
        </w:rPr>
        <w:t>3～5 min</w:t>
      </w:r>
      <w:r>
        <w:rPr>
          <w:rFonts w:hint="eastAsia" w:asciiTheme="minorEastAsia" w:hAnsiTheme="minorEastAsia" w:eastAsiaTheme="minorEastAsia"/>
          <w:color w:val="auto"/>
        </w:rPr>
        <w:t>；</w:t>
      </w:r>
      <w:r>
        <w:rPr>
          <w:rFonts w:hint="eastAsia"/>
          <w:color w:val="auto"/>
        </w:rPr>
        <w:t>若水池长度小于</w:t>
      </w:r>
      <w:r>
        <w:rPr>
          <w:rFonts w:hint="eastAsia" w:asciiTheme="minorEastAsia" w:hAnsiTheme="minorEastAsia" w:eastAsiaTheme="minorEastAsia"/>
          <w:color w:val="auto"/>
          <w:kern w:val="2"/>
          <w:szCs w:val="24"/>
        </w:rPr>
        <w:t>500 m，</w:t>
      </w:r>
      <w:r>
        <w:rPr>
          <w:rFonts w:hint="eastAsia"/>
          <w:color w:val="auto"/>
        </w:rPr>
        <w:t>需要进行几次，总时间（包括在水池外的时间）应</w:t>
      </w:r>
      <w:bookmarkStart w:id="72" w:name="OLE_LINK6"/>
      <w:bookmarkStart w:id="73" w:name="OLE_LINK5"/>
      <w:r>
        <w:rPr>
          <w:rFonts w:hint="eastAsia"/>
          <w:color w:val="auto"/>
        </w:rPr>
        <w:t>少于</w:t>
      </w:r>
      <w:bookmarkEnd w:id="72"/>
      <w:bookmarkEnd w:id="73"/>
      <w:r>
        <w:rPr>
          <w:rFonts w:hint="eastAsia" w:asciiTheme="minorEastAsia" w:hAnsiTheme="minorEastAsia" w:eastAsiaTheme="minorEastAsia"/>
          <w:color w:val="auto"/>
          <w:kern w:val="2"/>
          <w:szCs w:val="24"/>
        </w:rPr>
        <w:t>10 min</w:t>
      </w:r>
      <w:r>
        <w:rPr>
          <w:rFonts w:hint="eastAsia"/>
          <w:color w:val="auto"/>
        </w:rPr>
        <w:t>。车辆涉水试验完成后</w:t>
      </w:r>
      <w:r>
        <w:rPr>
          <w:rFonts w:hint="eastAsia" w:asciiTheme="minorEastAsia" w:hAnsiTheme="minorEastAsia" w:eastAsiaTheme="minorEastAsia"/>
          <w:color w:val="auto"/>
          <w:kern w:val="2"/>
          <w:szCs w:val="24"/>
        </w:rPr>
        <w:t>10 min</w:t>
      </w:r>
      <w:r>
        <w:rPr>
          <w:rFonts w:hint="eastAsia"/>
          <w:color w:val="auto"/>
        </w:rPr>
        <w:t>内，按照</w:t>
      </w:r>
      <w:r>
        <w:rPr>
          <w:color w:val="auto"/>
        </w:rPr>
        <w:fldChar w:fldCharType="begin"/>
      </w:r>
      <w:r>
        <w:rPr>
          <w:color w:val="auto"/>
        </w:rPr>
        <w:instrText xml:space="preserve"> HYPERLINK "http://10.8.0.138:8080/xitong/xilan.asp?id=35842&amp;T=bzNO&amp;W=18384" \t "tl" </w:instrText>
      </w:r>
      <w:r>
        <w:rPr>
          <w:color w:val="auto"/>
        </w:rPr>
        <w:fldChar w:fldCharType="separate"/>
      </w:r>
      <w:r>
        <w:rPr>
          <w:color w:val="auto"/>
        </w:rPr>
        <w:t>GB/T 18384.3</w:t>
      </w:r>
      <w:r>
        <w:rPr>
          <w:rFonts w:hint="eastAsia" w:hAnsi="宋体"/>
          <w:color w:val="auto"/>
        </w:rPr>
        <w:t>—</w:t>
      </w:r>
      <w:r>
        <w:rPr>
          <w:color w:val="auto"/>
        </w:rPr>
        <w:t>2015</w:t>
      </w:r>
      <w:r>
        <w:rPr>
          <w:color w:val="auto"/>
        </w:rPr>
        <w:fldChar w:fldCharType="end"/>
      </w:r>
      <w:r>
        <w:rPr>
          <w:rFonts w:hint="eastAsia"/>
          <w:color w:val="auto"/>
        </w:rPr>
        <w:t>中7.2的绝缘电阻测量方法完成测量，总绝缘电阻值应大于</w:t>
      </w:r>
      <w:r>
        <w:rPr>
          <w:rFonts w:hint="eastAsia" w:asciiTheme="minorEastAsia" w:hAnsiTheme="minorEastAsia" w:eastAsiaTheme="minorEastAsia"/>
          <w:color w:val="auto"/>
          <w:kern w:val="2"/>
          <w:szCs w:val="24"/>
        </w:rPr>
        <w:t>1 MΩ</w:t>
      </w:r>
      <w:r>
        <w:rPr>
          <w:rFonts w:hint="eastAsia"/>
          <w:color w:val="auto"/>
        </w:rPr>
        <w:t>。</w:t>
      </w:r>
    </w:p>
    <w:p>
      <w:pPr>
        <w:pStyle w:val="67"/>
        <w:rPr>
          <w:color w:val="auto"/>
        </w:rPr>
      </w:pPr>
      <w:r>
        <w:rPr>
          <w:rFonts w:hint="eastAsia"/>
          <w:color w:val="auto"/>
        </w:rPr>
        <w:t>以下部件的防护等级应不低于IP67，</w:t>
      </w:r>
      <w:r>
        <w:rPr>
          <w:rFonts w:hint="eastAsia" w:hAnsi="宋体"/>
          <w:color w:val="auto"/>
        </w:rPr>
        <w:t>零部件及系统的防护等级试验按GB 4208—2008的试验条件进行</w:t>
      </w:r>
      <w:r>
        <w:rPr>
          <w:rFonts w:hint="eastAsia"/>
          <w:color w:val="auto"/>
        </w:rPr>
        <w:t>：</w:t>
      </w:r>
    </w:p>
    <w:p>
      <w:pPr>
        <w:pStyle w:val="52"/>
        <w:ind w:left="426" w:firstLine="0"/>
        <w:rPr>
          <w:color w:val="auto"/>
        </w:rPr>
      </w:pPr>
      <w:r>
        <w:rPr>
          <w:rFonts w:hint="eastAsia"/>
          <w:color w:val="auto"/>
        </w:rPr>
        <w:t>安装在客舱地板以下且距地面</w:t>
      </w:r>
      <w:r>
        <w:rPr>
          <w:rFonts w:hint="eastAsia" w:asciiTheme="minorEastAsia" w:hAnsiTheme="minorEastAsia" w:eastAsiaTheme="minorEastAsia"/>
          <w:color w:val="auto"/>
          <w:kern w:val="2"/>
          <w:szCs w:val="24"/>
        </w:rPr>
        <w:t>500 mm</w:t>
      </w:r>
      <w:r>
        <w:rPr>
          <w:rFonts w:hint="eastAsia"/>
          <w:color w:val="auto"/>
        </w:rPr>
        <w:t>以下的B级电压电气设备和与B级电压部件相连的连接器（充电口除外）；</w:t>
      </w:r>
    </w:p>
    <w:p>
      <w:pPr>
        <w:pStyle w:val="52"/>
        <w:ind w:left="426" w:firstLine="0"/>
        <w:rPr>
          <w:color w:val="auto"/>
        </w:rPr>
      </w:pPr>
      <w:r>
        <w:rPr>
          <w:rFonts w:hint="eastAsia"/>
          <w:color w:val="auto"/>
        </w:rPr>
        <w:t>安装在车顶且无防护装置的B级电压电气设备（受电装置除外）。</w:t>
      </w:r>
    </w:p>
    <w:p>
      <w:pPr>
        <w:pStyle w:val="67"/>
        <w:rPr>
          <w:color w:val="auto"/>
        </w:rPr>
      </w:pPr>
      <w:r>
        <w:rPr>
          <w:rFonts w:hint="eastAsia"/>
          <w:color w:val="auto"/>
        </w:rPr>
        <w:t>车辆在退电状态，在水深</w:t>
      </w:r>
      <w:r>
        <w:rPr>
          <w:rFonts w:hint="eastAsia" w:asciiTheme="minorEastAsia" w:hAnsiTheme="minorEastAsia" w:eastAsiaTheme="minorEastAsia"/>
          <w:color w:val="auto"/>
          <w:kern w:val="2"/>
          <w:szCs w:val="24"/>
        </w:rPr>
        <w:t>50cm</w:t>
      </w:r>
      <w:r>
        <w:rPr>
          <w:rFonts w:hint="eastAsia"/>
          <w:color w:val="auto"/>
        </w:rPr>
        <w:t>水池浸泡</w:t>
      </w:r>
      <w:r>
        <w:rPr>
          <w:rFonts w:hint="eastAsia" w:asciiTheme="minorEastAsia" w:hAnsiTheme="minorEastAsia" w:eastAsiaTheme="minorEastAsia"/>
          <w:color w:val="auto"/>
          <w:kern w:val="2"/>
          <w:szCs w:val="24"/>
        </w:rPr>
        <w:t>24h</w:t>
      </w:r>
      <w:r>
        <w:rPr>
          <w:rFonts w:hint="eastAsia"/>
          <w:color w:val="auto"/>
        </w:rPr>
        <w:t>，之后打开总火开关，并将点火开关开至ON档，</w:t>
      </w:r>
      <w:r>
        <w:rPr>
          <w:rFonts w:hint="eastAsia" w:asciiTheme="minorEastAsia" w:hAnsiTheme="minorEastAsia" w:eastAsiaTheme="minorEastAsia"/>
          <w:color w:val="auto"/>
          <w:kern w:val="2"/>
          <w:szCs w:val="24"/>
        </w:rPr>
        <w:t>2 h</w:t>
      </w:r>
      <w:r>
        <w:rPr>
          <w:rFonts w:hint="eastAsia"/>
          <w:color w:val="auto"/>
        </w:rPr>
        <w:t>内车辆不起火、不爆炸。</w:t>
      </w:r>
    </w:p>
    <w:p>
      <w:pPr>
        <w:pStyle w:val="46"/>
        <w:spacing w:before="156" w:after="156"/>
        <w:ind w:left="0"/>
        <w:rPr>
          <w:color w:val="auto"/>
        </w:rPr>
      </w:pPr>
      <w:bookmarkStart w:id="74" w:name="_Toc452750829"/>
      <w:r>
        <w:rPr>
          <w:rFonts w:hint="eastAsia"/>
          <w:color w:val="auto"/>
        </w:rPr>
        <w:t>防火性能</w:t>
      </w:r>
      <w:bookmarkEnd w:id="74"/>
    </w:p>
    <w:p>
      <w:pPr>
        <w:pStyle w:val="50"/>
        <w:spacing w:beforeLines="0" w:afterLines="0"/>
        <w:rPr>
          <w:rFonts w:ascii="宋体" w:hAnsi="宋体" w:eastAsia="宋体"/>
          <w:color w:val="auto"/>
        </w:rPr>
      </w:pPr>
      <w:r>
        <w:rPr>
          <w:rFonts w:hint="eastAsia" w:ascii="宋体" w:hAnsi="宋体" w:eastAsia="宋体"/>
          <w:color w:val="auto"/>
        </w:rPr>
        <w:t>车身内饰材料的阻燃性能按</w:t>
      </w:r>
      <w:r>
        <w:rPr>
          <w:rFonts w:ascii="宋体" w:hAnsi="宋体" w:eastAsia="宋体"/>
          <w:color w:val="auto"/>
        </w:rPr>
        <w:t xml:space="preserve"> GB 8410</w:t>
      </w:r>
      <w:r>
        <w:rPr>
          <w:rFonts w:hint="eastAsia" w:ascii="宋体" w:hAnsi="宋体" w:eastAsia="宋体"/>
          <w:color w:val="auto"/>
        </w:rPr>
        <w:t>—</w:t>
      </w:r>
      <w:r>
        <w:rPr>
          <w:rFonts w:ascii="宋体" w:hAnsi="宋体" w:eastAsia="宋体"/>
          <w:color w:val="auto"/>
        </w:rPr>
        <w:t>2006</w:t>
      </w:r>
      <w:r>
        <w:rPr>
          <w:rFonts w:hint="eastAsia" w:ascii="宋体" w:hAnsi="宋体" w:eastAsia="宋体"/>
          <w:color w:val="auto"/>
        </w:rPr>
        <w:t>的方法试验，其水平燃烧速度应小于等于</w:t>
      </w:r>
      <w:r>
        <w:rPr>
          <w:rFonts w:hint="eastAsia" w:asciiTheme="minorEastAsia" w:hAnsiTheme="minorEastAsia" w:eastAsiaTheme="minorEastAsia"/>
          <w:color w:val="auto"/>
          <w:kern w:val="2"/>
          <w:szCs w:val="24"/>
        </w:rPr>
        <w:t>50 mm/min</w:t>
      </w:r>
      <w:r>
        <w:rPr>
          <w:rFonts w:hint="eastAsia" w:ascii="宋体" w:hAnsi="宋体" w:eastAsia="宋体"/>
          <w:color w:val="auto"/>
        </w:rPr>
        <w:t>。</w:t>
      </w:r>
    </w:p>
    <w:p>
      <w:pPr>
        <w:pStyle w:val="50"/>
        <w:spacing w:beforeLines="0" w:afterLines="0"/>
        <w:rPr>
          <w:rFonts w:ascii="宋体" w:hAnsi="宋体" w:eastAsia="宋体"/>
          <w:color w:val="auto"/>
        </w:rPr>
      </w:pPr>
      <w:r>
        <w:rPr>
          <w:rFonts w:hint="eastAsia" w:ascii="宋体" w:hAnsi="宋体" w:eastAsia="宋体"/>
          <w:color w:val="auto"/>
        </w:rPr>
        <w:t>B级电压部件所用绝缘材料的阻燃性能应符合</w:t>
      </w:r>
      <w:r>
        <w:rPr>
          <w:rFonts w:ascii="宋体" w:hAnsi="宋体" w:eastAsia="宋体"/>
          <w:color w:val="auto"/>
        </w:rPr>
        <w:t>GB/T 2408</w:t>
      </w:r>
      <w:r>
        <w:rPr>
          <w:rFonts w:hint="eastAsia" w:ascii="宋体" w:hAnsi="宋体" w:eastAsia="宋体"/>
          <w:color w:val="auto"/>
        </w:rPr>
        <w:t>-</w:t>
      </w:r>
      <w:r>
        <w:rPr>
          <w:rFonts w:ascii="宋体" w:hAnsi="宋体" w:eastAsia="宋体"/>
          <w:color w:val="auto"/>
        </w:rPr>
        <w:t>2008</w:t>
      </w:r>
      <w:r>
        <w:rPr>
          <w:rFonts w:hint="eastAsia" w:ascii="宋体" w:hAnsi="宋体" w:eastAsia="宋体"/>
          <w:color w:val="auto"/>
        </w:rPr>
        <w:t>规定的水平燃烧</w:t>
      </w:r>
      <w:r>
        <w:rPr>
          <w:rFonts w:ascii="宋体" w:hAnsi="宋体" w:eastAsia="宋体"/>
          <w:color w:val="auto"/>
        </w:rPr>
        <w:t>HB</w:t>
      </w:r>
      <w:r>
        <w:rPr>
          <w:rFonts w:hint="eastAsia" w:ascii="宋体" w:hAnsi="宋体" w:eastAsia="宋体"/>
          <w:color w:val="auto"/>
        </w:rPr>
        <w:t>级，垂直燃烧</w:t>
      </w:r>
      <w:r>
        <w:rPr>
          <w:rFonts w:ascii="宋体" w:hAnsi="宋体" w:eastAsia="宋体"/>
          <w:color w:val="auto"/>
        </w:rPr>
        <w:t>V—0</w:t>
      </w:r>
      <w:r>
        <w:rPr>
          <w:rFonts w:hint="eastAsia" w:ascii="宋体" w:hAnsi="宋体" w:eastAsia="宋体"/>
          <w:color w:val="auto"/>
        </w:rPr>
        <w:t>级。B级电压电缆防护用波纹管及热收缩双壁管的温度等级应不低于125 ℃，热收缩双壁管的性能应符合QC/T 29106—2014中附录B的要求,波纹管的性能应符合QC/T 29106—2014中附录D的要求。</w:t>
      </w:r>
    </w:p>
    <w:p>
      <w:pPr>
        <w:pStyle w:val="50"/>
        <w:tabs>
          <w:tab w:val="right" w:leader="dot" w:pos="0"/>
        </w:tabs>
        <w:spacing w:beforeLines="0" w:afterLines="0"/>
        <w:rPr>
          <w:color w:val="auto"/>
        </w:rPr>
      </w:pPr>
      <w:r>
        <w:rPr>
          <w:rFonts w:hint="eastAsia" w:ascii="宋体" w:hAnsi="宋体" w:eastAsia="宋体"/>
          <w:color w:val="auto"/>
        </w:rPr>
        <w:t>可充电储能系统内应使用阻燃材料，阻燃材料的阻燃等级应达到GB/T 2408—2008规定的水平燃烧</w:t>
      </w:r>
      <w:r>
        <w:rPr>
          <w:rFonts w:ascii="宋体" w:hAnsi="宋体" w:eastAsia="宋体"/>
          <w:color w:val="auto"/>
        </w:rPr>
        <w:t>HB</w:t>
      </w:r>
      <w:r>
        <w:rPr>
          <w:rFonts w:hint="eastAsia" w:ascii="宋体" w:hAnsi="宋体" w:eastAsia="宋体"/>
          <w:color w:val="auto"/>
        </w:rPr>
        <w:t>级，垂直燃烧</w:t>
      </w:r>
      <w:r>
        <w:rPr>
          <w:rFonts w:ascii="宋体" w:hAnsi="宋体" w:eastAsia="宋体"/>
          <w:color w:val="auto"/>
        </w:rPr>
        <w:t>V—0</w:t>
      </w:r>
      <w:r>
        <w:rPr>
          <w:rFonts w:hint="eastAsia" w:ascii="宋体" w:hAnsi="宋体" w:eastAsia="宋体"/>
          <w:color w:val="auto"/>
        </w:rPr>
        <w:t>级。</w:t>
      </w:r>
    </w:p>
    <w:p>
      <w:pPr>
        <w:pStyle w:val="50"/>
        <w:tabs>
          <w:tab w:val="right" w:leader="dot" w:pos="0"/>
        </w:tabs>
        <w:spacing w:beforeLines="0" w:afterLines="0"/>
        <w:rPr>
          <w:color w:val="auto"/>
        </w:rPr>
      </w:pPr>
      <w:r>
        <w:rPr>
          <w:rFonts w:hint="eastAsia" w:ascii="宋体" w:hAnsi="宋体" w:eastAsia="宋体"/>
          <w:color w:val="auto"/>
        </w:rPr>
        <w:t>可充电储能系统（或安装舱体）与客舱之间应使用阻燃隔热材料隔离，阻燃隔热材料的燃烧性能应符合GB 8624—2012中规定的A级要求</w:t>
      </w:r>
      <w:r>
        <w:rPr>
          <w:rFonts w:ascii="宋体" w:hAnsi="宋体" w:eastAsia="宋体"/>
          <w:color w:val="auto"/>
        </w:rPr>
        <w:t>，并且</w:t>
      </w:r>
      <w:r>
        <w:rPr>
          <w:rFonts w:hint="eastAsia" w:ascii="宋体" w:hAnsi="宋体" w:eastAsia="宋体"/>
          <w:color w:val="auto"/>
        </w:rPr>
        <w:t>按GB/T</w:t>
      </w:r>
      <w:r>
        <w:rPr>
          <w:rFonts w:ascii="宋体" w:hAnsi="宋体" w:eastAsia="宋体"/>
          <w:color w:val="auto"/>
        </w:rPr>
        <w:t xml:space="preserve"> </w:t>
      </w:r>
      <w:r>
        <w:rPr>
          <w:rFonts w:hint="eastAsia" w:ascii="宋体" w:hAnsi="宋体" w:eastAsia="宋体"/>
          <w:color w:val="auto"/>
        </w:rPr>
        <w:t>1029</w:t>
      </w:r>
      <w:r>
        <w:rPr>
          <w:rFonts w:hint="eastAsia" w:ascii="宋体" w:hAnsi="宋体" w:eastAsia="宋体"/>
          <w:color w:val="auto"/>
          <w:lang w:val="en-US" w:eastAsia="zh-CN"/>
        </w:rPr>
        <w:t>4</w:t>
      </w:r>
      <w:r>
        <w:rPr>
          <w:rFonts w:hint="eastAsia" w:ascii="宋体" w:hAnsi="宋体" w:eastAsia="宋体"/>
          <w:color w:val="auto"/>
        </w:rPr>
        <w:t>—2008进行试验，在300 ℃时导热系数应小于等于0.</w:t>
      </w:r>
      <w:r>
        <w:rPr>
          <w:rFonts w:ascii="宋体" w:hAnsi="宋体" w:eastAsia="宋体"/>
          <w:color w:val="auto"/>
        </w:rPr>
        <w:t>0</w:t>
      </w:r>
      <w:r>
        <w:rPr>
          <w:rFonts w:hint="eastAsia" w:ascii="宋体" w:hAnsi="宋体" w:eastAsia="宋体"/>
          <w:color w:val="auto"/>
        </w:rPr>
        <w:t xml:space="preserve">4 </w:t>
      </w:r>
      <w:r>
        <w:rPr>
          <w:rFonts w:ascii="宋体" w:hAnsi="宋体" w:eastAsia="宋体"/>
          <w:color w:val="auto"/>
        </w:rPr>
        <w:t>W</w:t>
      </w:r>
      <w:r>
        <w:rPr>
          <w:rFonts w:hint="eastAsia" w:ascii="宋体" w:hAnsi="宋体" w:eastAsia="宋体"/>
          <w:color w:val="auto"/>
        </w:rPr>
        <w:t>/（m·K）。</w:t>
      </w:r>
    </w:p>
    <w:p>
      <w:pPr>
        <w:pStyle w:val="50"/>
        <w:spacing w:beforeLines="0" w:afterLines="0"/>
        <w:rPr>
          <w:rFonts w:ascii="宋体" w:hAnsi="宋体" w:eastAsia="宋体"/>
          <w:color w:val="auto"/>
        </w:rPr>
      </w:pPr>
      <w:r>
        <w:rPr>
          <w:rFonts w:hint="eastAsia" w:ascii="宋体" w:hAnsi="宋体" w:eastAsia="宋体"/>
          <w:color w:val="auto"/>
        </w:rPr>
        <w:t>发动机舱(若有)应装备发动机舱自动灭火装置，启动工作时应能通过声或光信号向驾驶人报警。</w:t>
      </w:r>
    </w:p>
    <w:p>
      <w:pPr>
        <w:pStyle w:val="50"/>
        <w:spacing w:beforeLines="0" w:afterLines="0"/>
        <w:rPr>
          <w:rFonts w:ascii="宋体" w:hAnsi="宋体" w:eastAsia="宋体"/>
          <w:color w:val="auto"/>
        </w:rPr>
      </w:pPr>
      <w:r>
        <w:rPr>
          <w:rFonts w:hint="eastAsia" w:ascii="宋体" w:hAnsi="宋体" w:eastAsia="宋体"/>
          <w:color w:val="auto"/>
        </w:rPr>
        <w:t>可充电储能系统应具备火灾检测自动报警功能，应在驾驶区给驾驶员提供声或光报警信号。</w:t>
      </w:r>
    </w:p>
    <w:p>
      <w:pPr>
        <w:pStyle w:val="46"/>
        <w:spacing w:before="156" w:after="156"/>
        <w:ind w:left="0"/>
        <w:rPr>
          <w:color w:val="auto"/>
        </w:rPr>
      </w:pPr>
      <w:bookmarkStart w:id="75" w:name="_Toc452750830"/>
      <w:r>
        <w:rPr>
          <w:rFonts w:hint="eastAsia"/>
          <w:color w:val="auto"/>
        </w:rPr>
        <w:t>可充电储能系统</w:t>
      </w:r>
      <w:bookmarkEnd w:id="75"/>
    </w:p>
    <w:p>
      <w:pPr>
        <w:pStyle w:val="67"/>
        <w:rPr>
          <w:color w:val="auto"/>
        </w:rPr>
      </w:pPr>
      <w:bookmarkStart w:id="76" w:name="_Toc450582989"/>
      <w:r>
        <w:rPr>
          <w:rFonts w:hint="eastAsia"/>
          <w:color w:val="auto"/>
        </w:rPr>
        <w:t>蓄电池单元按照附录A的热失控测试条件进行试验，测试对象不应发生起火、爆炸。</w:t>
      </w:r>
    </w:p>
    <w:p>
      <w:pPr>
        <w:pStyle w:val="67"/>
        <w:rPr>
          <w:color w:val="auto"/>
        </w:rPr>
      </w:pPr>
      <w:r>
        <w:rPr>
          <w:rFonts w:hint="eastAsia"/>
          <w:color w:val="auto"/>
        </w:rPr>
        <w:t>可充电储能系统按照附录B的热失控扩展测试条件进行试验，测试对象应满足如下要求：</w:t>
      </w:r>
    </w:p>
    <w:p>
      <w:pPr>
        <w:pStyle w:val="67"/>
        <w:numPr>
          <w:ilvl w:val="0"/>
          <w:numId w:val="0"/>
        </w:numPr>
        <w:tabs>
          <w:tab w:val="clear" w:pos="0"/>
          <w:tab w:val="clear" w:pos="839"/>
        </w:tabs>
        <w:ind w:left="142" w:firstLine="420" w:firstLineChars="200"/>
        <w:rPr>
          <w:color w:val="auto"/>
        </w:rPr>
      </w:pPr>
      <w:r>
        <w:rPr>
          <w:rFonts w:hint="eastAsia"/>
          <w:color w:val="auto"/>
        </w:rPr>
        <w:t>a</w:t>
      </w:r>
      <w:r>
        <w:rPr>
          <w:color w:val="auto"/>
        </w:rPr>
        <w:t>)</w:t>
      </w:r>
      <w:r>
        <w:rPr>
          <w:rFonts w:hint="eastAsia"/>
          <w:color w:val="auto"/>
        </w:rPr>
        <w:t>如果未发生热失控，试验通过。为了确保热失控扩展不会发生，检测机构需证明采用附录C的三种触发方法，均不会发生热失控；</w:t>
      </w:r>
    </w:p>
    <w:p>
      <w:pPr>
        <w:pStyle w:val="67"/>
        <w:numPr>
          <w:ilvl w:val="0"/>
          <w:numId w:val="0"/>
        </w:numPr>
        <w:tabs>
          <w:tab w:val="clear" w:pos="0"/>
          <w:tab w:val="clear" w:pos="839"/>
        </w:tabs>
        <w:ind w:left="142" w:firstLine="420" w:firstLineChars="200"/>
        <w:rPr>
          <w:color w:val="auto"/>
        </w:rPr>
      </w:pPr>
      <w:r>
        <w:rPr>
          <w:rFonts w:hint="eastAsia"/>
          <w:color w:val="auto"/>
        </w:rPr>
        <w:t>b</w:t>
      </w:r>
      <w:r>
        <w:rPr>
          <w:color w:val="auto"/>
        </w:rPr>
        <w:t>)</w:t>
      </w:r>
      <w:r>
        <w:rPr>
          <w:rFonts w:hint="eastAsia"/>
          <w:color w:val="auto"/>
        </w:rPr>
        <w:t>如果发生热失控，但是热事故信号发出后5 min内没有发生外部起火或爆炸，且没有烟气进入乘客舱，试验通过。上述结论应在不拆卸测试样品的前提下通过肉眼来进行判断。</w:t>
      </w:r>
    </w:p>
    <w:p>
      <w:pPr>
        <w:pStyle w:val="67"/>
        <w:rPr>
          <w:color w:val="auto"/>
        </w:rPr>
      </w:pPr>
      <w:r>
        <w:rPr>
          <w:rFonts w:hint="eastAsia" w:hAnsi="宋体"/>
          <w:color w:val="auto"/>
        </w:rPr>
        <w:t>可充电储能系统安装</w:t>
      </w:r>
      <w:r>
        <w:rPr>
          <w:rFonts w:hint="eastAsia"/>
          <w:color w:val="auto"/>
        </w:rPr>
        <w:t>舱体应与客舱隔离(引风装置除外)，保证乘客不能触及到</w:t>
      </w:r>
      <w:r>
        <w:rPr>
          <w:rFonts w:hint="eastAsia" w:hAnsi="宋体"/>
          <w:color w:val="auto"/>
        </w:rPr>
        <w:t>可充电储能系统</w:t>
      </w:r>
      <w:r>
        <w:rPr>
          <w:rFonts w:hint="eastAsia"/>
          <w:color w:val="auto"/>
        </w:rPr>
        <w:t>。若从客舱引风为</w:t>
      </w:r>
      <w:r>
        <w:rPr>
          <w:rFonts w:hint="eastAsia" w:hAnsi="宋体"/>
          <w:color w:val="auto"/>
        </w:rPr>
        <w:t>可充电储能系统</w:t>
      </w:r>
      <w:r>
        <w:rPr>
          <w:rFonts w:hint="eastAsia"/>
          <w:color w:val="auto"/>
        </w:rPr>
        <w:t>调节温度，则引风口应配置烟雾控制装置，保证有害气体不能从进风口进入客舱。</w:t>
      </w:r>
    </w:p>
    <w:p>
      <w:pPr>
        <w:pStyle w:val="67"/>
        <w:rPr>
          <w:color w:val="auto"/>
        </w:rPr>
      </w:pPr>
      <w:r>
        <w:rPr>
          <w:rFonts w:hint="eastAsia" w:hAnsi="宋体"/>
          <w:color w:val="auto"/>
        </w:rPr>
        <w:t>可充电储能系统</w:t>
      </w:r>
      <w:r>
        <w:rPr>
          <w:rFonts w:hint="eastAsia"/>
          <w:color w:val="auto"/>
        </w:rPr>
        <w:t>应安装维修开关和熔断器。</w:t>
      </w:r>
    </w:p>
    <w:p>
      <w:pPr>
        <w:pStyle w:val="67"/>
        <w:rPr>
          <w:color w:val="auto"/>
        </w:rPr>
      </w:pPr>
      <w:r>
        <w:rPr>
          <w:rFonts w:hint="eastAsia"/>
          <w:color w:val="auto"/>
        </w:rPr>
        <w:t>蓄电池包应设有泄压和透气装置，泄压压力不大于50 kPa。</w:t>
      </w:r>
    </w:p>
    <w:bookmarkEnd w:id="76"/>
    <w:p>
      <w:pPr>
        <w:pStyle w:val="46"/>
        <w:spacing w:before="156" w:after="156"/>
        <w:ind w:left="0"/>
        <w:rPr>
          <w:color w:val="auto"/>
        </w:rPr>
      </w:pPr>
      <w:bookmarkStart w:id="77" w:name="_Toc451604317"/>
      <w:bookmarkEnd w:id="77"/>
      <w:bookmarkStart w:id="78" w:name="_Toc451604319"/>
      <w:bookmarkEnd w:id="78"/>
      <w:bookmarkStart w:id="79" w:name="_Toc451604318"/>
      <w:bookmarkEnd w:id="79"/>
      <w:bookmarkStart w:id="80" w:name="_Toc451604314"/>
      <w:bookmarkEnd w:id="80"/>
      <w:bookmarkStart w:id="81" w:name="_Toc451604320"/>
      <w:bookmarkEnd w:id="81"/>
      <w:bookmarkStart w:id="82" w:name="_Toc451604315"/>
      <w:bookmarkEnd w:id="82"/>
      <w:bookmarkStart w:id="83" w:name="_Toc451604316"/>
      <w:bookmarkEnd w:id="83"/>
      <w:bookmarkStart w:id="84" w:name="_Toc451604321"/>
      <w:bookmarkEnd w:id="84"/>
      <w:bookmarkStart w:id="85" w:name="_Toc450582991"/>
      <w:bookmarkStart w:id="86" w:name="_Toc452750832"/>
      <w:r>
        <w:rPr>
          <w:rFonts w:hint="eastAsia"/>
          <w:color w:val="auto"/>
        </w:rPr>
        <w:t>控制</w:t>
      </w:r>
      <w:bookmarkEnd w:id="85"/>
      <w:r>
        <w:rPr>
          <w:rFonts w:hint="eastAsia"/>
          <w:color w:val="auto"/>
        </w:rPr>
        <w:t>系统</w:t>
      </w:r>
      <w:bookmarkEnd w:id="86"/>
    </w:p>
    <w:p>
      <w:pPr>
        <w:pStyle w:val="50"/>
        <w:spacing w:beforeLines="0" w:afterLines="0"/>
        <w:rPr>
          <w:rFonts w:ascii="宋体" w:hAnsi="宋体" w:eastAsia="宋体"/>
          <w:color w:val="auto"/>
        </w:rPr>
      </w:pPr>
      <w:r>
        <w:rPr>
          <w:rFonts w:hint="eastAsia" w:ascii="宋体" w:hAnsi="宋体" w:eastAsia="宋体"/>
          <w:color w:val="auto"/>
        </w:rPr>
        <w:t>整车控制系统应保证当制动信号和加速信号同时发生时，应只响应制动信号。</w:t>
      </w:r>
    </w:p>
    <w:p>
      <w:pPr>
        <w:pStyle w:val="50"/>
        <w:spacing w:beforeLines="0" w:afterLines="0"/>
        <w:rPr>
          <w:rFonts w:ascii="宋体" w:hAnsi="宋体" w:eastAsia="宋体"/>
          <w:color w:val="auto"/>
        </w:rPr>
      </w:pPr>
      <w:r>
        <w:rPr>
          <w:rFonts w:hint="eastAsia" w:ascii="宋体" w:hAnsi="宋体" w:eastAsia="宋体"/>
          <w:color w:val="auto"/>
        </w:rPr>
        <w:t>车辆在行驶过程中，出现需要整车主动断B级高压电的车辆异常情况时，在车速大于</w:t>
      </w:r>
      <w:r>
        <w:rPr>
          <w:rFonts w:ascii="宋体" w:hAnsi="宋体" w:eastAsia="宋体"/>
          <w:color w:val="auto"/>
        </w:rPr>
        <w:t>5</w:t>
      </w:r>
      <w:r>
        <w:rPr>
          <w:rFonts w:hint="eastAsia" w:ascii="宋体" w:hAnsi="宋体" w:eastAsia="宋体"/>
          <w:color w:val="auto"/>
        </w:rPr>
        <w:t xml:space="preserve"> </w:t>
      </w:r>
      <w:r>
        <w:rPr>
          <w:rFonts w:ascii="宋体" w:hAnsi="宋体" w:eastAsia="宋体"/>
          <w:color w:val="auto"/>
        </w:rPr>
        <w:t>km/h时应保持转向系统维持助力状态</w:t>
      </w:r>
      <w:r>
        <w:rPr>
          <w:rFonts w:hint="eastAsia" w:ascii="宋体" w:hAnsi="宋体" w:eastAsia="宋体"/>
          <w:color w:val="auto"/>
        </w:rPr>
        <w:t>或至少保持转向助力状态30 s后再断B级电</w:t>
      </w:r>
      <w:r>
        <w:rPr>
          <w:rFonts w:ascii="宋体" w:hAnsi="宋体" w:eastAsia="宋体"/>
          <w:color w:val="auto"/>
        </w:rPr>
        <w:t>。</w:t>
      </w:r>
    </w:p>
    <w:p>
      <w:pPr>
        <w:pStyle w:val="46"/>
        <w:spacing w:before="156" w:after="156"/>
        <w:ind w:left="0"/>
        <w:rPr>
          <w:rFonts w:hAnsi="黑体"/>
          <w:color w:val="auto"/>
        </w:rPr>
      </w:pPr>
      <w:bookmarkStart w:id="87" w:name="_Toc452750833"/>
      <w:r>
        <w:rPr>
          <w:rFonts w:hint="eastAsia"/>
          <w:color w:val="auto"/>
        </w:rPr>
        <w:t>车载终端和远程监控</w:t>
      </w:r>
      <w:bookmarkEnd w:id="87"/>
      <w:bookmarkStart w:id="88" w:name="_Toc451604326"/>
      <w:bookmarkEnd w:id="88"/>
      <w:bookmarkStart w:id="89" w:name="_Toc451604332"/>
      <w:bookmarkEnd w:id="89"/>
      <w:bookmarkStart w:id="90" w:name="_Toc451604328"/>
      <w:bookmarkEnd w:id="90"/>
      <w:bookmarkStart w:id="91" w:name="_Toc451604334"/>
      <w:bookmarkEnd w:id="91"/>
      <w:bookmarkStart w:id="92" w:name="_Toc451604327"/>
      <w:bookmarkEnd w:id="92"/>
      <w:bookmarkStart w:id="93" w:name="_Toc451604325"/>
      <w:bookmarkEnd w:id="93"/>
      <w:bookmarkStart w:id="94" w:name="_Toc451604330"/>
      <w:bookmarkEnd w:id="94"/>
      <w:bookmarkStart w:id="95" w:name="_Toc451604324"/>
      <w:bookmarkEnd w:id="95"/>
      <w:bookmarkStart w:id="96" w:name="_Toc451604331"/>
      <w:bookmarkEnd w:id="96"/>
      <w:bookmarkStart w:id="97" w:name="_Toc451604333"/>
      <w:bookmarkEnd w:id="97"/>
    </w:p>
    <w:p>
      <w:pPr>
        <w:pStyle w:val="50"/>
        <w:spacing w:beforeLines="0" w:afterLines="0"/>
        <w:rPr>
          <w:rFonts w:ascii="宋体" w:hAnsi="宋体" w:eastAsia="宋体"/>
          <w:color w:val="auto"/>
        </w:rPr>
      </w:pPr>
      <w:r>
        <w:rPr>
          <w:rFonts w:hint="eastAsia" w:ascii="宋体" w:hAnsi="宋体" w:eastAsia="宋体"/>
          <w:color w:val="auto"/>
        </w:rPr>
        <w:t>车辆应安装车载终端，并实现和监控平台数据通讯。</w:t>
      </w:r>
    </w:p>
    <w:p>
      <w:pPr>
        <w:pStyle w:val="46"/>
        <w:spacing w:before="156" w:after="156"/>
        <w:ind w:left="0"/>
        <w:rPr>
          <w:color w:val="auto"/>
        </w:rPr>
      </w:pPr>
      <w:bookmarkStart w:id="98" w:name="_Toc451604344"/>
      <w:bookmarkEnd w:id="98"/>
      <w:bookmarkStart w:id="99" w:name="_Toc451604343"/>
      <w:bookmarkEnd w:id="99"/>
      <w:bookmarkStart w:id="100" w:name="_Toc451604342"/>
      <w:bookmarkEnd w:id="100"/>
      <w:bookmarkStart w:id="101" w:name="_Toc451604341"/>
      <w:bookmarkEnd w:id="101"/>
      <w:bookmarkStart w:id="102" w:name="_Toc451604336"/>
      <w:bookmarkEnd w:id="102"/>
      <w:bookmarkStart w:id="103" w:name="_Toc451604340"/>
      <w:bookmarkEnd w:id="103"/>
      <w:bookmarkStart w:id="104" w:name="_Toc451604337"/>
      <w:bookmarkEnd w:id="104"/>
      <w:bookmarkStart w:id="105" w:name="_Toc451604345"/>
      <w:bookmarkEnd w:id="105"/>
      <w:bookmarkStart w:id="106" w:name="_Toc451604338"/>
      <w:bookmarkEnd w:id="106"/>
      <w:bookmarkStart w:id="107" w:name="_Toc451604339"/>
      <w:bookmarkEnd w:id="107"/>
      <w:bookmarkStart w:id="108" w:name="_Toc450582995"/>
      <w:bookmarkStart w:id="109" w:name="_Toc452750834"/>
      <w:r>
        <w:rPr>
          <w:rFonts w:hint="eastAsia"/>
          <w:color w:val="auto"/>
        </w:rPr>
        <w:t>充电安全</w:t>
      </w:r>
      <w:bookmarkEnd w:id="108"/>
      <w:bookmarkEnd w:id="109"/>
    </w:p>
    <w:p>
      <w:pPr>
        <w:pStyle w:val="50"/>
        <w:spacing w:beforeLines="0" w:afterLines="0"/>
        <w:rPr>
          <w:rFonts w:ascii="宋体" w:hAnsi="宋体" w:eastAsia="宋体"/>
          <w:color w:val="auto"/>
        </w:rPr>
      </w:pPr>
      <w:bookmarkStart w:id="110" w:name="_Toc450582365"/>
      <w:bookmarkStart w:id="111" w:name="_Toc450582270"/>
      <w:bookmarkStart w:id="112" w:name="_Toc450582092"/>
      <w:r>
        <w:rPr>
          <w:rFonts w:hint="eastAsia" w:ascii="宋体" w:hAnsi="宋体" w:eastAsia="宋体"/>
          <w:color w:val="auto"/>
        </w:rPr>
        <w:t>整车具备多个充电接口时，充电时不工作的充电接口应不带电。</w:t>
      </w:r>
    </w:p>
    <w:p>
      <w:pPr>
        <w:pStyle w:val="50"/>
        <w:spacing w:beforeLines="0" w:afterLines="0"/>
        <w:rPr>
          <w:rFonts w:ascii="宋体" w:hAnsi="宋体" w:eastAsia="宋体"/>
          <w:color w:val="auto"/>
        </w:rPr>
      </w:pPr>
      <w:r>
        <w:rPr>
          <w:rFonts w:hint="eastAsia" w:ascii="宋体" w:hAnsi="宋体" w:eastAsia="宋体"/>
          <w:color w:val="auto"/>
        </w:rPr>
        <w:t>车辆的充电插座应设置温度监控装置，该装置应能根据温度变化传送相应信号给车辆，用于实现车辆接口的温度监测和过温保护功能。</w:t>
      </w:r>
      <w:bookmarkEnd w:id="110"/>
      <w:bookmarkEnd w:id="111"/>
      <w:bookmarkEnd w:id="112"/>
      <w:bookmarkStart w:id="113" w:name="_Toc451604347"/>
      <w:bookmarkEnd w:id="113"/>
      <w:bookmarkStart w:id="114" w:name="_Toc451604348"/>
      <w:bookmarkEnd w:id="114"/>
      <w:bookmarkStart w:id="115" w:name="_Toc451604350"/>
      <w:bookmarkEnd w:id="115"/>
      <w:bookmarkStart w:id="116" w:name="_Toc451604351"/>
      <w:bookmarkEnd w:id="116"/>
      <w:bookmarkStart w:id="117" w:name="_Toc451604349"/>
      <w:bookmarkEnd w:id="117"/>
      <w:bookmarkStart w:id="118" w:name="_Toc451604352"/>
      <w:bookmarkEnd w:id="118"/>
      <w:bookmarkStart w:id="119" w:name="_Toc450582998"/>
    </w:p>
    <w:p>
      <w:pPr>
        <w:pStyle w:val="46"/>
        <w:spacing w:before="156" w:after="156"/>
        <w:ind w:left="0"/>
        <w:rPr>
          <w:color w:val="auto"/>
        </w:rPr>
      </w:pPr>
      <w:bookmarkStart w:id="120" w:name="_Toc452750835"/>
      <w:r>
        <w:rPr>
          <w:rFonts w:hint="eastAsia"/>
          <w:color w:val="auto"/>
        </w:rPr>
        <w:t>车辆碰撞</w:t>
      </w:r>
      <w:bookmarkEnd w:id="119"/>
      <w:r>
        <w:rPr>
          <w:rFonts w:hint="eastAsia"/>
          <w:color w:val="auto"/>
        </w:rPr>
        <w:t>防护要求</w:t>
      </w:r>
      <w:bookmarkEnd w:id="120"/>
    </w:p>
    <w:p>
      <w:pPr>
        <w:pStyle w:val="50"/>
        <w:spacing w:beforeLines="0" w:afterLines="0"/>
        <w:rPr>
          <w:rFonts w:ascii="宋体" w:hAnsi="宋体" w:eastAsia="宋体"/>
          <w:color w:val="auto"/>
        </w:rPr>
      </w:pPr>
      <w:bookmarkStart w:id="121" w:name="_Toc451156682"/>
      <w:r>
        <w:rPr>
          <w:rFonts w:hint="eastAsia" w:ascii="宋体" w:hAnsi="宋体" w:eastAsia="宋体"/>
          <w:color w:val="auto"/>
        </w:rPr>
        <w:t>若有可充电储能系统未安装在车辆顶部，则应按照附录C进行碰撞试验。</w:t>
      </w:r>
    </w:p>
    <w:p>
      <w:pPr>
        <w:pStyle w:val="50"/>
        <w:spacing w:beforeLines="0" w:afterLines="0"/>
        <w:rPr>
          <w:rFonts w:ascii="宋体" w:hAnsi="宋体" w:eastAsia="宋体"/>
          <w:color w:val="auto"/>
        </w:rPr>
      </w:pPr>
      <w:r>
        <w:rPr>
          <w:rFonts w:ascii="宋体" w:hAnsi="宋体" w:eastAsia="宋体"/>
          <w:color w:val="auto"/>
        </w:rPr>
        <w:t>车辆</w:t>
      </w:r>
      <w:r>
        <w:rPr>
          <w:rFonts w:hint="eastAsia" w:ascii="宋体" w:hAnsi="宋体" w:eastAsia="宋体"/>
          <w:color w:val="auto"/>
        </w:rPr>
        <w:t>在</w:t>
      </w:r>
      <w:r>
        <w:rPr>
          <w:rFonts w:ascii="宋体" w:hAnsi="宋体" w:eastAsia="宋体"/>
          <w:color w:val="auto"/>
        </w:rPr>
        <w:t>碰撞</w:t>
      </w:r>
      <w:r>
        <w:rPr>
          <w:rFonts w:hint="eastAsia" w:ascii="宋体" w:hAnsi="宋体" w:eastAsia="宋体"/>
          <w:color w:val="auto"/>
        </w:rPr>
        <w:t>试验后</w:t>
      </w:r>
      <w:r>
        <w:rPr>
          <w:rFonts w:ascii="宋体" w:hAnsi="宋体" w:eastAsia="宋体"/>
          <w:color w:val="auto"/>
        </w:rPr>
        <w:t>应符合GB/T 31498中4.2</w:t>
      </w:r>
      <w:r>
        <w:rPr>
          <w:rFonts w:hint="eastAsia" w:ascii="宋体" w:hAnsi="宋体" w:eastAsia="宋体"/>
          <w:color w:val="auto"/>
        </w:rPr>
        <w:t>～</w:t>
      </w:r>
      <w:r>
        <w:rPr>
          <w:rFonts w:ascii="宋体" w:hAnsi="宋体" w:eastAsia="宋体"/>
          <w:color w:val="auto"/>
        </w:rPr>
        <w:t>4.4</w:t>
      </w:r>
      <w:r>
        <w:rPr>
          <w:rFonts w:hint="eastAsia" w:ascii="宋体" w:hAnsi="宋体" w:eastAsia="宋体"/>
          <w:color w:val="auto"/>
        </w:rPr>
        <w:t>的</w:t>
      </w:r>
      <w:r>
        <w:rPr>
          <w:rFonts w:ascii="宋体" w:hAnsi="宋体" w:eastAsia="宋体"/>
          <w:color w:val="auto"/>
        </w:rPr>
        <w:t>要求</w:t>
      </w:r>
      <w:r>
        <w:rPr>
          <w:rFonts w:hint="eastAsia" w:ascii="宋体" w:hAnsi="宋体" w:eastAsia="宋体"/>
          <w:color w:val="auto"/>
        </w:rPr>
        <w:t>。</w:t>
      </w:r>
    </w:p>
    <w:p>
      <w:pPr>
        <w:pStyle w:val="50"/>
        <w:spacing w:beforeLines="0" w:afterLines="0"/>
        <w:rPr>
          <w:rFonts w:ascii="宋体" w:hAnsi="宋体" w:eastAsia="宋体"/>
          <w:color w:val="auto"/>
        </w:rPr>
      </w:pPr>
      <w:r>
        <w:rPr>
          <w:rFonts w:hint="eastAsia" w:ascii="宋体" w:hAnsi="宋体" w:eastAsia="宋体"/>
          <w:color w:val="auto"/>
        </w:rPr>
        <w:t>当需要考核碰撞防护性能的车型，与已经通过碰撞试验的车型相比，同时满足以下四个条件时，可免于碰撞防护试验。</w:t>
      </w:r>
    </w:p>
    <w:p>
      <w:pPr>
        <w:pStyle w:val="27"/>
        <w:ind w:firstLine="0" w:firstLineChars="0"/>
        <w:rPr>
          <w:color w:val="auto"/>
        </w:rPr>
      </w:pPr>
      <w:r>
        <w:rPr>
          <w:rFonts w:hint="eastAsia" w:hAnsi="宋体"/>
          <w:color w:val="auto"/>
        </w:rPr>
        <w:t xml:space="preserve">         </w:t>
      </w:r>
      <w:r>
        <w:rPr>
          <w:rFonts w:hint="eastAsia"/>
          <w:color w:val="auto"/>
        </w:rPr>
        <w:t>——可充电储能系统能量相同或减小；</w:t>
      </w:r>
    </w:p>
    <w:p>
      <w:pPr>
        <w:pStyle w:val="27"/>
        <w:ind w:firstLine="945" w:firstLineChars="450"/>
        <w:rPr>
          <w:color w:val="auto"/>
        </w:rPr>
      </w:pPr>
      <w:r>
        <w:rPr>
          <w:rFonts w:hint="eastAsia"/>
          <w:color w:val="auto"/>
        </w:rPr>
        <w:t>——箱体结构相同或加强；</w:t>
      </w:r>
    </w:p>
    <w:p>
      <w:pPr>
        <w:pStyle w:val="27"/>
        <w:ind w:firstLine="945" w:firstLineChars="450"/>
        <w:rPr>
          <w:color w:val="auto"/>
        </w:rPr>
      </w:pPr>
      <w:r>
        <w:rPr>
          <w:rFonts w:hint="eastAsia"/>
          <w:color w:val="auto"/>
        </w:rPr>
        <w:t>——箱体安装结构相同或加强；</w:t>
      </w:r>
    </w:p>
    <w:p>
      <w:pPr>
        <w:pStyle w:val="27"/>
        <w:ind w:firstLine="945" w:firstLineChars="450"/>
        <w:rPr>
          <w:color w:val="auto"/>
        </w:rPr>
      </w:pPr>
      <w:r>
        <w:rPr>
          <w:rFonts w:hint="eastAsia"/>
          <w:color w:val="auto"/>
        </w:rPr>
        <w:t>——电池包安装区域的车体结构不变或加强（结构开口尺寸相同或变小）。</w:t>
      </w:r>
    </w:p>
    <w:p>
      <w:pPr>
        <w:pStyle w:val="50"/>
        <w:spacing w:beforeLines="0" w:afterLines="0"/>
        <w:rPr>
          <w:rFonts w:ascii="宋体" w:hAnsi="宋体" w:eastAsia="宋体"/>
          <w:color w:val="auto"/>
        </w:rPr>
      </w:pPr>
      <w:r>
        <w:rPr>
          <w:rFonts w:hint="eastAsia" w:ascii="宋体" w:hAnsi="宋体" w:eastAsia="宋体"/>
          <w:color w:val="auto"/>
        </w:rPr>
        <w:t>若电动客车需按GB</w:t>
      </w:r>
      <w:r>
        <w:rPr>
          <w:rFonts w:ascii="宋体" w:hAnsi="宋体" w:eastAsia="宋体"/>
          <w:color w:val="auto"/>
        </w:rPr>
        <w:t xml:space="preserve"> </w:t>
      </w:r>
      <w:r>
        <w:rPr>
          <w:rFonts w:hint="eastAsia" w:ascii="宋体" w:hAnsi="宋体" w:eastAsia="宋体"/>
          <w:color w:val="auto"/>
        </w:rPr>
        <w:t>17578进行上部结构强度验证试验，应在其可充电储能系统荷电量（SOC）30%～50%且处于上电状态下进行试验，试验后应符合GB/T 31498中4.2～4.4的要求。</w:t>
      </w:r>
    </w:p>
    <w:p>
      <w:pPr>
        <w:pStyle w:val="46"/>
        <w:spacing w:before="156" w:after="156"/>
        <w:ind w:left="0"/>
        <w:rPr>
          <w:color w:val="auto"/>
        </w:rPr>
      </w:pPr>
      <w:bookmarkStart w:id="122" w:name="_Toc452750836"/>
      <w:r>
        <w:rPr>
          <w:rFonts w:hint="eastAsia"/>
          <w:color w:val="auto"/>
        </w:rPr>
        <w:t>整车</w:t>
      </w:r>
      <w:bookmarkEnd w:id="121"/>
      <w:bookmarkEnd w:id="122"/>
    </w:p>
    <w:p>
      <w:pPr>
        <w:pStyle w:val="50"/>
        <w:spacing w:beforeLines="0" w:afterLines="0"/>
        <w:rPr>
          <w:rFonts w:ascii="宋体" w:hAnsi="宋体" w:eastAsia="宋体"/>
          <w:color w:val="auto"/>
        </w:rPr>
      </w:pPr>
      <w:r>
        <w:rPr>
          <w:rFonts w:hint="eastAsia" w:ascii="宋体" w:hAnsi="宋体" w:eastAsia="宋体"/>
          <w:color w:val="auto"/>
        </w:rPr>
        <w:t>每层及每个分隔舱的出口最少数量应符合表1的规定。但卫生间或烹调间不视为分隔舱。不论撤离舱口数量有多少，只能计为一个应急出口。</w:t>
      </w:r>
    </w:p>
    <w:p>
      <w:pPr>
        <w:pStyle w:val="127"/>
        <w:tabs>
          <w:tab w:val="left" w:pos="360"/>
        </w:tabs>
        <w:spacing w:before="156" w:after="156"/>
        <w:ind w:left="0"/>
        <w:rPr>
          <w:rFonts w:hAnsi="黑体"/>
          <w:color w:val="auto"/>
        </w:rPr>
      </w:pPr>
      <w:r>
        <w:rPr>
          <w:rFonts w:hint="eastAsia" w:hAnsi="黑体"/>
          <w:color w:val="auto"/>
        </w:rPr>
        <w:t>出口的最少数量</w:t>
      </w:r>
    </w:p>
    <w:tbl>
      <w:tblPr>
        <w:tblStyle w:val="43"/>
        <w:tblW w:w="9356"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4"/>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6204" w:type="dxa"/>
          </w:tcPr>
          <w:p>
            <w:pPr>
              <w:jc w:val="center"/>
              <w:rPr>
                <w:rFonts w:ascii="宋体" w:hAnsi="宋体"/>
                <w:color w:val="auto"/>
                <w:sz w:val="18"/>
                <w:szCs w:val="18"/>
              </w:rPr>
            </w:pPr>
            <w:r>
              <w:rPr>
                <w:rFonts w:hint="eastAsia" w:ascii="宋体" w:hAnsi="宋体"/>
                <w:color w:val="auto"/>
                <w:sz w:val="18"/>
                <w:szCs w:val="18"/>
              </w:rPr>
              <w:t>乘客及车组人员的数量（个）</w:t>
            </w:r>
          </w:p>
        </w:tc>
        <w:tc>
          <w:tcPr>
            <w:tcW w:w="3152" w:type="dxa"/>
          </w:tcPr>
          <w:p>
            <w:pPr>
              <w:jc w:val="center"/>
              <w:rPr>
                <w:rFonts w:ascii="宋体" w:hAnsi="宋体"/>
                <w:color w:val="auto"/>
                <w:sz w:val="18"/>
                <w:szCs w:val="18"/>
              </w:rPr>
            </w:pPr>
            <w:r>
              <w:rPr>
                <w:rFonts w:hint="eastAsia" w:ascii="宋体" w:hAnsi="宋体"/>
                <w:color w:val="auto"/>
                <w:sz w:val="18"/>
                <w:szCs w:val="18"/>
              </w:rPr>
              <w:t>出口的最少数量（个）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6204" w:type="dxa"/>
          </w:tcPr>
          <w:p>
            <w:pPr>
              <w:jc w:val="center"/>
              <w:rPr>
                <w:rFonts w:ascii="宋体" w:hAnsi="宋体"/>
                <w:color w:val="auto"/>
                <w:sz w:val="18"/>
                <w:szCs w:val="18"/>
              </w:rPr>
            </w:pPr>
            <w:r>
              <w:rPr>
                <w:rFonts w:hint="eastAsia" w:ascii="宋体" w:hAnsi="宋体"/>
                <w:color w:val="auto"/>
                <w:sz w:val="18"/>
                <w:szCs w:val="18"/>
              </w:rPr>
              <w:t>9～16</w:t>
            </w:r>
          </w:p>
        </w:tc>
        <w:tc>
          <w:tcPr>
            <w:tcW w:w="3152" w:type="dxa"/>
          </w:tcPr>
          <w:p>
            <w:pPr>
              <w:jc w:val="center"/>
              <w:rPr>
                <w:rFonts w:ascii="宋体" w:hAnsi="宋体"/>
                <w:color w:val="auto"/>
                <w:sz w:val="18"/>
                <w:szCs w:val="18"/>
              </w:rPr>
            </w:pPr>
            <w:r>
              <w:rPr>
                <w:rFonts w:hint="eastAsia" w:ascii="宋体" w:hAnsi="宋体"/>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6204" w:type="dxa"/>
          </w:tcPr>
          <w:p>
            <w:pPr>
              <w:jc w:val="center"/>
              <w:rPr>
                <w:rFonts w:ascii="宋体" w:hAnsi="宋体"/>
                <w:color w:val="auto"/>
                <w:sz w:val="18"/>
                <w:szCs w:val="18"/>
              </w:rPr>
            </w:pPr>
            <w:r>
              <w:rPr>
                <w:rFonts w:hint="eastAsia" w:ascii="宋体" w:hAnsi="宋体"/>
                <w:color w:val="auto"/>
                <w:sz w:val="18"/>
                <w:szCs w:val="18"/>
              </w:rPr>
              <w:t>17～30</w:t>
            </w:r>
          </w:p>
        </w:tc>
        <w:tc>
          <w:tcPr>
            <w:tcW w:w="3152" w:type="dxa"/>
          </w:tcPr>
          <w:p>
            <w:pPr>
              <w:jc w:val="center"/>
              <w:rPr>
                <w:rFonts w:ascii="宋体" w:hAnsi="宋体"/>
                <w:color w:val="auto"/>
                <w:sz w:val="18"/>
                <w:szCs w:val="18"/>
              </w:rPr>
            </w:pPr>
            <w:r>
              <w:rPr>
                <w:rFonts w:hint="eastAsia" w:ascii="宋体" w:hAnsi="宋体"/>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6204" w:type="dxa"/>
          </w:tcPr>
          <w:p>
            <w:pPr>
              <w:jc w:val="center"/>
              <w:rPr>
                <w:rFonts w:ascii="宋体" w:hAnsi="宋体"/>
                <w:color w:val="auto"/>
                <w:sz w:val="18"/>
                <w:szCs w:val="18"/>
              </w:rPr>
            </w:pPr>
            <w:r>
              <w:rPr>
                <w:rFonts w:hint="eastAsia" w:ascii="宋体" w:hAnsi="宋体"/>
                <w:color w:val="auto"/>
                <w:sz w:val="18"/>
                <w:szCs w:val="18"/>
              </w:rPr>
              <w:t>31～45</w:t>
            </w:r>
          </w:p>
        </w:tc>
        <w:tc>
          <w:tcPr>
            <w:tcW w:w="3152" w:type="dxa"/>
          </w:tcPr>
          <w:p>
            <w:pPr>
              <w:jc w:val="center"/>
              <w:rPr>
                <w:rFonts w:ascii="宋体" w:hAnsi="宋体"/>
                <w:color w:val="auto"/>
                <w:sz w:val="18"/>
                <w:szCs w:val="18"/>
              </w:rPr>
            </w:pPr>
            <w:r>
              <w:rPr>
                <w:rFonts w:hint="eastAsia" w:ascii="宋体" w:hAnsi="宋体"/>
                <w:color w:val="auto"/>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6204" w:type="dxa"/>
          </w:tcPr>
          <w:p>
            <w:pPr>
              <w:jc w:val="center"/>
              <w:rPr>
                <w:rFonts w:ascii="宋体" w:hAnsi="宋体"/>
                <w:color w:val="auto"/>
                <w:sz w:val="18"/>
                <w:szCs w:val="18"/>
              </w:rPr>
            </w:pPr>
            <w:r>
              <w:rPr>
                <w:rFonts w:hint="eastAsia" w:ascii="宋体" w:hAnsi="宋体"/>
                <w:color w:val="auto"/>
                <w:sz w:val="18"/>
                <w:szCs w:val="18"/>
              </w:rPr>
              <w:t>46～60</w:t>
            </w:r>
          </w:p>
        </w:tc>
        <w:tc>
          <w:tcPr>
            <w:tcW w:w="3152" w:type="dxa"/>
          </w:tcPr>
          <w:p>
            <w:pPr>
              <w:jc w:val="center"/>
              <w:rPr>
                <w:rFonts w:ascii="宋体" w:hAnsi="宋体"/>
                <w:color w:val="auto"/>
                <w:sz w:val="18"/>
                <w:szCs w:val="18"/>
              </w:rPr>
            </w:pPr>
            <w:r>
              <w:rPr>
                <w:rFonts w:hint="eastAsia" w:ascii="宋体" w:hAnsi="宋体"/>
                <w:color w:val="auto"/>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6204" w:type="dxa"/>
          </w:tcPr>
          <w:p>
            <w:pPr>
              <w:jc w:val="center"/>
              <w:rPr>
                <w:rFonts w:ascii="宋体" w:hAnsi="宋体"/>
                <w:color w:val="auto"/>
                <w:sz w:val="18"/>
                <w:szCs w:val="18"/>
              </w:rPr>
            </w:pPr>
            <w:r>
              <w:rPr>
                <w:rFonts w:hint="eastAsia" w:ascii="宋体" w:hAnsi="宋体"/>
                <w:color w:val="auto"/>
                <w:sz w:val="18"/>
                <w:szCs w:val="18"/>
              </w:rPr>
              <w:t>61～75</w:t>
            </w:r>
          </w:p>
        </w:tc>
        <w:tc>
          <w:tcPr>
            <w:tcW w:w="3152" w:type="dxa"/>
          </w:tcPr>
          <w:p>
            <w:pPr>
              <w:jc w:val="center"/>
              <w:rPr>
                <w:rFonts w:ascii="宋体" w:hAnsi="宋体"/>
                <w:color w:val="auto"/>
                <w:sz w:val="18"/>
                <w:szCs w:val="18"/>
              </w:rPr>
            </w:pPr>
            <w:r>
              <w:rPr>
                <w:rFonts w:hint="eastAsia" w:ascii="宋体" w:hAnsi="宋体"/>
                <w:color w:val="auto"/>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6204" w:type="dxa"/>
          </w:tcPr>
          <w:p>
            <w:pPr>
              <w:jc w:val="center"/>
              <w:rPr>
                <w:rFonts w:ascii="宋体" w:hAnsi="宋体"/>
                <w:color w:val="auto"/>
                <w:sz w:val="18"/>
                <w:szCs w:val="18"/>
              </w:rPr>
            </w:pPr>
            <w:r>
              <w:rPr>
                <w:rFonts w:hint="eastAsia" w:ascii="宋体" w:hAnsi="宋体"/>
                <w:color w:val="auto"/>
                <w:sz w:val="18"/>
                <w:szCs w:val="18"/>
              </w:rPr>
              <w:t>76～90</w:t>
            </w:r>
          </w:p>
        </w:tc>
        <w:tc>
          <w:tcPr>
            <w:tcW w:w="3152" w:type="dxa"/>
          </w:tcPr>
          <w:p>
            <w:pPr>
              <w:jc w:val="center"/>
              <w:rPr>
                <w:rFonts w:ascii="宋体" w:hAnsi="宋体"/>
                <w:color w:val="auto"/>
                <w:sz w:val="18"/>
                <w:szCs w:val="18"/>
              </w:rPr>
            </w:pPr>
            <w:r>
              <w:rPr>
                <w:rFonts w:hint="eastAsia" w:ascii="宋体" w:hAnsi="宋体"/>
                <w:color w:val="auto"/>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6204" w:type="dxa"/>
          </w:tcPr>
          <w:p>
            <w:pPr>
              <w:jc w:val="center"/>
              <w:rPr>
                <w:rFonts w:ascii="宋体" w:hAnsi="宋体"/>
                <w:color w:val="auto"/>
                <w:sz w:val="18"/>
                <w:szCs w:val="18"/>
              </w:rPr>
            </w:pPr>
            <w:r>
              <w:rPr>
                <w:rFonts w:hint="eastAsia" w:ascii="宋体" w:hAnsi="宋体"/>
                <w:color w:val="auto"/>
                <w:sz w:val="18"/>
                <w:szCs w:val="18"/>
              </w:rPr>
              <w:t>91～110</w:t>
            </w:r>
          </w:p>
        </w:tc>
        <w:tc>
          <w:tcPr>
            <w:tcW w:w="3152" w:type="dxa"/>
          </w:tcPr>
          <w:p>
            <w:pPr>
              <w:jc w:val="center"/>
              <w:rPr>
                <w:rFonts w:ascii="宋体" w:hAnsi="宋体"/>
                <w:color w:val="auto"/>
                <w:sz w:val="18"/>
                <w:szCs w:val="18"/>
              </w:rPr>
            </w:pPr>
            <w:r>
              <w:rPr>
                <w:rFonts w:hint="eastAsia" w:ascii="宋体" w:hAnsi="宋体"/>
                <w:color w:val="auto"/>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6204" w:type="dxa"/>
          </w:tcPr>
          <w:p>
            <w:pPr>
              <w:jc w:val="center"/>
              <w:rPr>
                <w:rFonts w:ascii="宋体" w:hAnsi="宋体"/>
                <w:color w:val="auto"/>
                <w:sz w:val="18"/>
                <w:szCs w:val="18"/>
              </w:rPr>
            </w:pPr>
            <w:r>
              <w:rPr>
                <w:rFonts w:hint="eastAsia" w:ascii="宋体" w:hAnsi="宋体"/>
                <w:color w:val="auto"/>
                <w:sz w:val="18"/>
                <w:szCs w:val="18"/>
              </w:rPr>
              <w:t>111～130</w:t>
            </w:r>
          </w:p>
        </w:tc>
        <w:tc>
          <w:tcPr>
            <w:tcW w:w="3152" w:type="dxa"/>
          </w:tcPr>
          <w:p>
            <w:pPr>
              <w:jc w:val="center"/>
              <w:rPr>
                <w:rFonts w:ascii="宋体" w:hAnsi="宋体"/>
                <w:color w:val="auto"/>
                <w:sz w:val="18"/>
                <w:szCs w:val="18"/>
              </w:rPr>
            </w:pPr>
            <w:r>
              <w:rPr>
                <w:rFonts w:hint="eastAsia" w:ascii="宋体" w:hAnsi="宋体"/>
                <w:color w:val="auto"/>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6204" w:type="dxa"/>
          </w:tcPr>
          <w:p>
            <w:pPr>
              <w:jc w:val="center"/>
              <w:rPr>
                <w:rFonts w:ascii="宋体" w:hAnsi="宋体"/>
                <w:color w:val="auto"/>
                <w:sz w:val="18"/>
                <w:szCs w:val="18"/>
              </w:rPr>
            </w:pPr>
            <w:r>
              <w:rPr>
                <w:rFonts w:hint="eastAsia" w:ascii="宋体" w:hAnsi="宋体"/>
                <w:color w:val="auto"/>
                <w:sz w:val="18"/>
                <w:szCs w:val="18"/>
              </w:rPr>
              <w:t>＞130</w:t>
            </w:r>
          </w:p>
        </w:tc>
        <w:tc>
          <w:tcPr>
            <w:tcW w:w="3152" w:type="dxa"/>
          </w:tcPr>
          <w:p>
            <w:pPr>
              <w:jc w:val="center"/>
              <w:rPr>
                <w:rFonts w:ascii="宋体" w:hAnsi="宋体"/>
                <w:color w:val="auto"/>
                <w:sz w:val="18"/>
                <w:szCs w:val="18"/>
              </w:rPr>
            </w:pPr>
            <w:r>
              <w:rPr>
                <w:rFonts w:hint="eastAsia" w:ascii="宋体" w:hAnsi="宋体"/>
                <w:color w:val="auto"/>
                <w:sz w:val="18"/>
                <w:szCs w:val="18"/>
              </w:rPr>
              <w:t>13</w:t>
            </w:r>
          </w:p>
        </w:tc>
      </w:tr>
    </w:tbl>
    <w:p>
      <w:pPr>
        <w:pStyle w:val="50"/>
        <w:spacing w:beforeLines="0" w:afterLines="0"/>
        <w:rPr>
          <w:rFonts w:ascii="宋体" w:hAnsi="宋体" w:eastAsia="宋体"/>
          <w:color w:val="auto"/>
        </w:rPr>
      </w:pPr>
      <w:r>
        <w:rPr>
          <w:rFonts w:hint="eastAsia" w:ascii="宋体" w:hAnsi="宋体" w:eastAsia="宋体"/>
          <w:color w:val="auto"/>
        </w:rPr>
        <w:t>撤离舱口距可能给使用撤离舱口的乘客带来危险的设备（如B级电压系统等）应大于等于 100 mm，否则应加以隔离。</w:t>
      </w:r>
    </w:p>
    <w:p>
      <w:pPr>
        <w:pStyle w:val="50"/>
        <w:spacing w:beforeLines="0" w:afterLines="0"/>
        <w:rPr>
          <w:rFonts w:ascii="宋体" w:hAnsi="宋体" w:eastAsia="宋体"/>
          <w:color w:val="auto"/>
        </w:rPr>
      </w:pPr>
      <w:r>
        <w:rPr>
          <w:rFonts w:hint="eastAsia" w:ascii="宋体" w:hAnsi="宋体" w:eastAsia="宋体"/>
          <w:color w:val="auto"/>
        </w:rPr>
        <w:t>操作乘客门应急控制器8 s内应使乘客门自动打开或用手轻易打开到相应的乘客门引道量规能通过的宽度。</w:t>
      </w:r>
      <w:bookmarkStart w:id="123" w:name="_Toc451156681"/>
    </w:p>
    <w:p>
      <w:pPr>
        <w:pStyle w:val="50"/>
        <w:spacing w:beforeLines="0" w:afterLines="0"/>
        <w:rPr>
          <w:rFonts w:ascii="宋体" w:hAnsi="宋体" w:eastAsia="宋体"/>
          <w:color w:val="auto"/>
        </w:rPr>
      </w:pPr>
      <w:r>
        <w:rPr>
          <w:rFonts w:hint="eastAsia" w:ascii="宋体" w:hAnsi="宋体" w:eastAsia="宋体"/>
          <w:color w:val="auto"/>
        </w:rPr>
        <w:t>电动客车应采用动力转向系统。</w:t>
      </w:r>
    </w:p>
    <w:p>
      <w:pPr>
        <w:pStyle w:val="50"/>
        <w:spacing w:beforeLines="0" w:afterLines="0"/>
        <w:rPr>
          <w:rFonts w:ascii="宋体" w:hAnsi="宋体" w:eastAsia="宋体"/>
          <w:color w:val="auto"/>
        </w:rPr>
      </w:pPr>
      <w:r>
        <w:rPr>
          <w:rFonts w:hint="eastAsia" w:ascii="宋体" w:hAnsi="宋体" w:eastAsia="宋体"/>
          <w:color w:val="auto"/>
        </w:rPr>
        <w:t>前风窗应安装除霜、除雾装置。</w:t>
      </w:r>
    </w:p>
    <w:bookmarkEnd w:id="123"/>
    <w:p>
      <w:pPr>
        <w:pStyle w:val="49"/>
        <w:spacing w:before="312" w:after="312"/>
        <w:jc w:val="center"/>
        <w:rPr>
          <w:color w:val="auto"/>
        </w:rPr>
      </w:pPr>
      <w:bookmarkStart w:id="124" w:name="_Toc451604356"/>
      <w:bookmarkEnd w:id="124"/>
      <w:bookmarkStart w:id="125" w:name="_Toc451604367"/>
      <w:bookmarkEnd w:id="125"/>
      <w:bookmarkStart w:id="126" w:name="_Toc451604364"/>
      <w:bookmarkEnd w:id="126"/>
      <w:bookmarkStart w:id="127" w:name="_Toc449526762"/>
      <w:bookmarkEnd w:id="127"/>
      <w:bookmarkStart w:id="128" w:name="_Toc451604366"/>
      <w:bookmarkEnd w:id="128"/>
      <w:bookmarkStart w:id="129" w:name="_Toc451604365"/>
      <w:bookmarkEnd w:id="129"/>
      <w:bookmarkStart w:id="130" w:name="_Toc449526756"/>
      <w:bookmarkEnd w:id="130"/>
      <w:bookmarkStart w:id="131" w:name="_Toc449526759"/>
      <w:bookmarkEnd w:id="131"/>
      <w:bookmarkStart w:id="132" w:name="_Toc449526760"/>
      <w:bookmarkEnd w:id="132"/>
      <w:bookmarkStart w:id="133" w:name="_Toc451604368"/>
      <w:bookmarkEnd w:id="133"/>
      <w:bookmarkStart w:id="134" w:name="_Toc451604359"/>
      <w:bookmarkEnd w:id="134"/>
      <w:bookmarkStart w:id="135" w:name="_Toc451604357"/>
      <w:bookmarkEnd w:id="135"/>
      <w:bookmarkStart w:id="136" w:name="_Toc449526757"/>
      <w:bookmarkEnd w:id="136"/>
      <w:bookmarkStart w:id="137" w:name="_Toc449526758"/>
      <w:bookmarkEnd w:id="137"/>
      <w:bookmarkStart w:id="138" w:name="_Toc451604363"/>
      <w:bookmarkEnd w:id="138"/>
      <w:bookmarkStart w:id="139" w:name="_Toc451604358"/>
      <w:bookmarkEnd w:id="139"/>
      <w:bookmarkStart w:id="140" w:name="_Toc449526761"/>
      <w:bookmarkEnd w:id="140"/>
      <w:bookmarkStart w:id="141" w:name="_Toc450583006"/>
      <w:bookmarkStart w:id="142" w:name="_Toc450661464"/>
      <w:bookmarkStart w:id="143" w:name="_Toc450670928"/>
      <w:bookmarkStart w:id="144" w:name="_Toc451348109"/>
      <w:bookmarkStart w:id="145" w:name="_Toc451243321"/>
      <w:bookmarkStart w:id="146" w:name="_Toc451241362"/>
      <w:bookmarkStart w:id="147" w:name="_Toc451244658"/>
      <w:bookmarkStart w:id="148" w:name="_Toc450584433"/>
      <w:bookmarkStart w:id="149" w:name="_Toc451368555"/>
      <w:bookmarkStart w:id="150" w:name="_Toc450583354"/>
      <w:bookmarkStart w:id="151" w:name="_Toc451242807"/>
      <w:bookmarkStart w:id="152" w:name="_Toc451156689"/>
      <w:bookmarkStart w:id="153" w:name="_Toc451238578"/>
      <w:bookmarkStart w:id="154" w:name="_Toc451604369"/>
      <w:bookmarkStart w:id="155" w:name="_Toc451281180"/>
      <w:r>
        <w:rPr>
          <w:color w:val="auto"/>
        </w:rPr>
        <w:br w:type="page"/>
      </w:r>
    </w:p>
    <w:p>
      <w:pPr>
        <w:pStyle w:val="87"/>
        <w:spacing w:after="0"/>
        <w:ind w:left="0"/>
        <w:rPr>
          <w:color w:val="auto"/>
          <w:sz w:val="24"/>
        </w:rPr>
      </w:pPr>
      <w:r>
        <w:rPr>
          <w:color w:val="auto"/>
          <w:sz w:val="24"/>
        </w:rPr>
        <w:br w:type="textWrapping" w:clear="all"/>
      </w:r>
      <w:bookmarkStart w:id="156" w:name="_Toc452750839"/>
      <w:r>
        <w:rPr>
          <w:rFonts w:hint="eastAsia"/>
          <w:color w:val="auto"/>
          <w:sz w:val="24"/>
        </w:rPr>
        <w:t>蓄电池单元热失控试验</w:t>
      </w:r>
      <w:bookmarkEnd w:id="156"/>
    </w:p>
    <w:p>
      <w:pPr>
        <w:pStyle w:val="27"/>
        <w:ind w:firstLine="0" w:firstLineChars="0"/>
        <w:jc w:val="center"/>
        <w:rPr>
          <w:rFonts w:hAnsi="黑体"/>
          <w:color w:val="auto"/>
        </w:rPr>
      </w:pPr>
      <w:r>
        <w:rPr>
          <w:rFonts w:hint="eastAsia" w:ascii="黑体" w:hAnsi="黑体" w:eastAsia="黑体"/>
          <w:color w:val="auto"/>
        </w:rPr>
        <w:t>（规范性附录）</w:t>
      </w:r>
    </w:p>
    <w:p>
      <w:pPr>
        <w:pStyle w:val="104"/>
        <w:spacing w:before="312" w:after="312"/>
        <w:ind w:left="0"/>
        <w:rPr>
          <w:color w:val="auto"/>
        </w:rPr>
      </w:pPr>
      <w:r>
        <w:rPr>
          <w:rFonts w:hint="eastAsia"/>
          <w:color w:val="auto"/>
        </w:rPr>
        <w:t>目的</w:t>
      </w:r>
    </w:p>
    <w:p>
      <w:pPr>
        <w:pStyle w:val="27"/>
        <w:rPr>
          <w:color w:val="auto"/>
        </w:rPr>
      </w:pPr>
      <w:r>
        <w:rPr>
          <w:rFonts w:hint="eastAsia"/>
          <w:color w:val="auto"/>
          <w:szCs w:val="21"/>
        </w:rPr>
        <w:t>对电动客车车载可充电系统的</w:t>
      </w:r>
      <w:r>
        <w:rPr>
          <w:rFonts w:hint="eastAsia"/>
          <w:color w:val="auto"/>
        </w:rPr>
        <w:t>核心化学危险源进行安全性评价与管控。</w:t>
      </w:r>
    </w:p>
    <w:p>
      <w:pPr>
        <w:pStyle w:val="104"/>
        <w:spacing w:before="312" w:after="312"/>
        <w:ind w:left="0"/>
        <w:rPr>
          <w:color w:val="auto"/>
        </w:rPr>
      </w:pPr>
      <w:r>
        <w:rPr>
          <w:rFonts w:hint="eastAsia"/>
          <w:color w:val="auto"/>
        </w:rPr>
        <w:t>测试对象</w:t>
      </w:r>
    </w:p>
    <w:p>
      <w:pPr>
        <w:pStyle w:val="67"/>
        <w:numPr>
          <w:ilvl w:val="2"/>
          <w:numId w:val="0"/>
        </w:numPr>
        <w:tabs>
          <w:tab w:val="clear" w:pos="0"/>
          <w:tab w:val="clear" w:pos="57"/>
          <w:tab w:val="clear" w:pos="180"/>
          <w:tab w:val="clear" w:pos="363"/>
          <w:tab w:val="clear" w:pos="532"/>
          <w:tab w:val="clear" w:pos="851"/>
          <w:tab w:val="clear" w:pos="993"/>
          <w:tab w:val="clear" w:pos="1140"/>
          <w:tab w:val="clear" w:pos="1260"/>
          <w:tab w:val="clear" w:pos="1616"/>
          <w:tab w:val="clear" w:pos="2104"/>
        </w:tabs>
        <w:ind w:firstLine="420" w:firstLineChars="200"/>
        <w:rPr>
          <w:color w:val="auto"/>
        </w:rPr>
      </w:pPr>
      <w:r>
        <w:rPr>
          <w:rFonts w:hint="eastAsia"/>
          <w:color w:val="auto"/>
        </w:rPr>
        <w:t>电池管理系统管理的最小蓄电池单元。</w:t>
      </w:r>
    </w:p>
    <w:p>
      <w:pPr>
        <w:pStyle w:val="104"/>
        <w:spacing w:before="312" w:after="312"/>
        <w:ind w:left="0"/>
        <w:rPr>
          <w:color w:val="auto"/>
        </w:rPr>
      </w:pPr>
      <w:r>
        <w:rPr>
          <w:rFonts w:hint="eastAsia" w:hAnsi="宋体"/>
          <w:color w:val="auto"/>
        </w:rPr>
        <w:t>试验</w:t>
      </w:r>
      <w:r>
        <w:rPr>
          <w:rFonts w:hint="eastAsia"/>
          <w:color w:val="auto"/>
        </w:rPr>
        <w:t>方法</w:t>
      </w:r>
    </w:p>
    <w:p>
      <w:pPr>
        <w:pStyle w:val="106"/>
        <w:ind w:left="0"/>
        <w:rPr>
          <w:color w:val="auto"/>
        </w:rPr>
      </w:pPr>
      <w:r>
        <w:rPr>
          <w:rFonts w:hint="eastAsia"/>
          <w:color w:val="auto"/>
        </w:rPr>
        <w:t>除另有规定，试验应在温度为</w:t>
      </w:r>
      <w:r>
        <w:rPr>
          <w:rFonts w:hint="eastAsia" w:asciiTheme="minorEastAsia" w:hAnsiTheme="minorEastAsia" w:eastAsiaTheme="minorEastAsia"/>
          <w:color w:val="auto"/>
          <w:kern w:val="2"/>
          <w:szCs w:val="24"/>
        </w:rPr>
        <w:t>25±5 ℃</w:t>
      </w:r>
      <w:r>
        <w:rPr>
          <w:rFonts w:hint="eastAsia"/>
          <w:color w:val="auto"/>
        </w:rPr>
        <w:t>，相对湿度为</w:t>
      </w:r>
      <w:r>
        <w:rPr>
          <w:rFonts w:hint="eastAsia" w:asciiTheme="minorEastAsia" w:hAnsiTheme="minorEastAsia" w:eastAsiaTheme="minorEastAsia"/>
          <w:color w:val="auto"/>
          <w:kern w:val="2"/>
          <w:szCs w:val="24"/>
        </w:rPr>
        <w:t>15%～90%</w:t>
      </w:r>
      <w:r>
        <w:rPr>
          <w:rFonts w:hint="eastAsia"/>
          <w:color w:val="auto"/>
        </w:rPr>
        <w:t>，大气压力为</w:t>
      </w:r>
      <w:r>
        <w:rPr>
          <w:rFonts w:hint="eastAsia" w:asciiTheme="minorEastAsia" w:hAnsiTheme="minorEastAsia" w:eastAsiaTheme="minorEastAsia"/>
          <w:color w:val="auto"/>
          <w:kern w:val="2"/>
          <w:szCs w:val="24"/>
        </w:rPr>
        <w:t>86 kPa～106 kPa</w:t>
      </w:r>
      <w:r>
        <w:rPr>
          <w:rFonts w:hint="eastAsia"/>
          <w:color w:val="auto"/>
        </w:rPr>
        <w:t>的环境中进行。本标准所提到的室温，是指</w:t>
      </w:r>
      <w:r>
        <w:rPr>
          <w:rFonts w:hint="eastAsia" w:asciiTheme="minorEastAsia" w:hAnsiTheme="minorEastAsia" w:eastAsiaTheme="minorEastAsia"/>
          <w:color w:val="auto"/>
          <w:kern w:val="2"/>
          <w:szCs w:val="24"/>
        </w:rPr>
        <w:t>25±2 ℃</w:t>
      </w:r>
      <w:r>
        <w:rPr>
          <w:rFonts w:hint="eastAsia"/>
          <w:color w:val="auto"/>
        </w:rPr>
        <w:t>。</w:t>
      </w:r>
    </w:p>
    <w:p>
      <w:pPr>
        <w:pStyle w:val="105"/>
        <w:spacing w:before="156" w:after="156"/>
        <w:ind w:left="0"/>
        <w:rPr>
          <w:rFonts w:ascii="宋体" w:eastAsia="宋体"/>
          <w:color w:val="auto"/>
          <w:szCs w:val="21"/>
        </w:rPr>
      </w:pPr>
      <w:r>
        <w:rPr>
          <w:rFonts w:hint="eastAsia" w:ascii="宋体" w:eastAsia="宋体"/>
          <w:color w:val="auto"/>
          <w:szCs w:val="21"/>
        </w:rPr>
        <w:t>使用平面状或者棒状加热装置，并且其表面应覆盖陶瓷，金属或绝缘层，加热装置的功率要求见表A</w:t>
      </w:r>
      <w:r>
        <w:rPr>
          <w:rFonts w:ascii="宋体" w:eastAsia="宋体"/>
          <w:color w:val="auto"/>
          <w:szCs w:val="21"/>
        </w:rPr>
        <w:t>.1</w:t>
      </w:r>
      <w:r>
        <w:rPr>
          <w:rFonts w:hint="eastAsia" w:ascii="宋体" w:eastAsia="宋体"/>
          <w:color w:val="auto"/>
          <w:szCs w:val="21"/>
        </w:rPr>
        <w:t>。完成测试对象与加热装置的装配，加热装置与蓄电池应直接接触，加热装置的尺寸规格应不大于测试对象的被加热面；安装温度监测器，监测点温度传感器布置在远离热传导的一侧，即安装在加热装置的对侧(如图A.1)。温度数据的采样间隔应小于1 s，准确度要求为±</w:t>
      </w:r>
      <w:r>
        <w:rPr>
          <w:rFonts w:ascii="宋体" w:eastAsia="宋体"/>
          <w:color w:val="auto"/>
          <w:szCs w:val="21"/>
        </w:rPr>
        <w:t>2</w:t>
      </w:r>
      <w:r>
        <w:rPr>
          <w:rFonts w:hint="eastAsia" w:ascii="宋体" w:eastAsia="宋体"/>
          <w:color w:val="auto"/>
          <w:szCs w:val="21"/>
        </w:rPr>
        <w:t xml:space="preserve"> ℃，温度传感器尖端的直径应小于1 mm。</w:t>
      </w:r>
    </w:p>
    <w:p>
      <w:pPr>
        <w:pStyle w:val="127"/>
        <w:numPr>
          <w:ilvl w:val="0"/>
          <w:numId w:val="0"/>
        </w:numPr>
        <w:tabs>
          <w:tab w:val="left" w:pos="360"/>
          <w:tab w:val="clear" w:pos="0"/>
          <w:tab w:val="clear" w:pos="839"/>
        </w:tabs>
        <w:spacing w:before="156" w:after="156"/>
        <w:rPr>
          <w:rFonts w:hAnsi="黑体"/>
          <w:color w:val="auto"/>
        </w:rPr>
      </w:pPr>
      <w:r>
        <w:rPr>
          <w:rFonts w:hint="eastAsia" w:hAnsi="黑体"/>
          <w:color w:val="auto"/>
        </w:rPr>
        <w:t>表A</w:t>
      </w:r>
      <w:r>
        <w:rPr>
          <w:rFonts w:hAnsi="黑体"/>
          <w:color w:val="auto"/>
        </w:rPr>
        <w:t>.1</w:t>
      </w:r>
      <w:r>
        <w:rPr>
          <w:rFonts w:hint="eastAsia" w:hAnsi="黑体"/>
          <w:color w:val="auto"/>
        </w:rPr>
        <w:t>：加热装置功率选择</w:t>
      </w:r>
    </w:p>
    <w:tbl>
      <w:tblPr>
        <w:tblStyle w:val="43"/>
        <w:tblW w:w="7654" w:type="dxa"/>
        <w:jc w:val="center"/>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819" w:type="dxa"/>
            <w:vAlign w:val="center"/>
          </w:tcPr>
          <w:p>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测试对象能量</w:t>
            </w:r>
            <w:r>
              <w:rPr>
                <w:rFonts w:asciiTheme="minorEastAsia" w:hAnsiTheme="minorEastAsia" w:eastAsiaTheme="minorEastAsia"/>
                <w:color w:val="auto"/>
                <w:sz w:val="18"/>
                <w:szCs w:val="18"/>
              </w:rPr>
              <w:t>E</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Wh</w:t>
            </w:r>
            <w:r>
              <w:rPr>
                <w:rFonts w:hint="eastAsia" w:asciiTheme="minorEastAsia" w:hAnsiTheme="minorEastAsia" w:eastAsiaTheme="minorEastAsia"/>
                <w:color w:val="auto"/>
                <w:sz w:val="18"/>
                <w:szCs w:val="18"/>
              </w:rPr>
              <w:t>）</w:t>
            </w:r>
          </w:p>
        </w:tc>
        <w:tc>
          <w:tcPr>
            <w:tcW w:w="2835" w:type="dxa"/>
            <w:vAlign w:val="center"/>
          </w:tcPr>
          <w:p>
            <w:pPr>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加热</w:t>
            </w:r>
            <w:r>
              <w:rPr>
                <w:rFonts w:hint="eastAsia" w:asciiTheme="minorEastAsia" w:hAnsiTheme="minorEastAsia" w:eastAsiaTheme="minorEastAsia"/>
                <w:color w:val="auto"/>
                <w:sz w:val="18"/>
                <w:szCs w:val="18"/>
              </w:rPr>
              <w:t>装置最大</w:t>
            </w:r>
            <w:r>
              <w:rPr>
                <w:rFonts w:asciiTheme="minorEastAsia" w:hAnsiTheme="minorEastAsia" w:eastAsiaTheme="minorEastAsia"/>
                <w:color w:val="auto"/>
                <w:sz w:val="18"/>
                <w:szCs w:val="18"/>
              </w:rPr>
              <w:t>功率（W）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819"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E&lt;100</w:t>
            </w:r>
          </w:p>
        </w:tc>
        <w:tc>
          <w:tcPr>
            <w:tcW w:w="2835"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30</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819"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E&lt;400</w:t>
            </w:r>
          </w:p>
        </w:tc>
        <w:tc>
          <w:tcPr>
            <w:tcW w:w="2835"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300</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819"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400</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E&lt;800</w:t>
            </w:r>
          </w:p>
        </w:tc>
        <w:tc>
          <w:tcPr>
            <w:tcW w:w="2835"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300</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819"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E</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800</w:t>
            </w:r>
          </w:p>
        </w:tc>
        <w:tc>
          <w:tcPr>
            <w:tcW w:w="2835"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&gt;600</w:t>
            </w:r>
          </w:p>
        </w:tc>
      </w:tr>
    </w:tbl>
    <w:p>
      <w:pPr>
        <w:pStyle w:val="106"/>
        <w:ind w:left="0"/>
        <w:rPr>
          <w:rFonts w:hAnsi="宋体"/>
          <w:color w:val="auto"/>
        </w:rPr>
      </w:pPr>
      <w:r>
        <w:rPr>
          <w:rFonts w:hint="eastAsia" w:hAnsi="宋体"/>
          <w:color w:val="auto"/>
        </w:rPr>
        <w:t>将测试对象充电</w:t>
      </w:r>
      <w:r>
        <w:rPr>
          <w:rFonts w:hint="eastAsia"/>
          <w:color w:val="auto"/>
        </w:rPr>
        <w:t>到SOC=100%后，</w:t>
      </w:r>
      <w:r>
        <w:rPr>
          <w:rFonts w:hint="eastAsia" w:hAnsi="宋体"/>
          <w:color w:val="auto"/>
        </w:rPr>
        <w:t>再对测试对象用</w:t>
      </w:r>
      <w:r>
        <w:rPr>
          <w:rFonts w:hAnsi="宋体"/>
          <w:color w:val="auto"/>
        </w:rPr>
        <w:t>1C电流继续充电12</w:t>
      </w:r>
      <w:r>
        <w:rPr>
          <w:rFonts w:hint="eastAsia" w:hAnsi="宋体"/>
          <w:color w:val="auto"/>
        </w:rPr>
        <w:t xml:space="preserve"> </w:t>
      </w:r>
      <w:r>
        <w:rPr>
          <w:rFonts w:hAnsi="宋体"/>
          <w:color w:val="auto"/>
        </w:rPr>
        <w:t>min。</w:t>
      </w:r>
    </w:p>
    <w:p>
      <w:pPr>
        <w:pStyle w:val="106"/>
        <w:ind w:left="0"/>
        <w:rPr>
          <w:rFonts w:hAnsi="宋体"/>
          <w:color w:val="auto"/>
        </w:rPr>
      </w:pPr>
      <w:r>
        <w:rPr>
          <w:rFonts w:hint="eastAsia" w:hAnsi="宋体"/>
          <w:color w:val="auto"/>
        </w:rPr>
        <w:t>立刻启动加热装置，并以其最大功率对测试对象进行持续加热，</w:t>
      </w:r>
      <w:r>
        <w:rPr>
          <w:rFonts w:hint="eastAsia" w:ascii="Times New Roman"/>
          <w:color w:val="auto"/>
        </w:rPr>
        <w:t>当发生热失控或者A</w:t>
      </w:r>
      <w:r>
        <w:rPr>
          <w:rFonts w:ascii="Times New Roman"/>
          <w:color w:val="auto"/>
        </w:rPr>
        <w:t>.3.2</w:t>
      </w:r>
      <w:r>
        <w:rPr>
          <w:rFonts w:hint="eastAsia" w:ascii="Times New Roman"/>
          <w:color w:val="auto"/>
        </w:rPr>
        <w:t>定义的监测点温度达到</w:t>
      </w:r>
      <w:r>
        <w:rPr>
          <w:rFonts w:ascii="Times New Roman"/>
          <w:color w:val="auto"/>
        </w:rPr>
        <w:t>300</w:t>
      </w:r>
      <w:r>
        <w:rPr>
          <w:rFonts w:hint="eastAsia" w:ascii="Times New Roman"/>
          <w:color w:val="auto"/>
        </w:rPr>
        <w:t xml:space="preserve"> ℃时，停止触发，</w:t>
      </w:r>
      <w:r>
        <w:rPr>
          <w:rFonts w:hint="eastAsia" w:hAnsi="宋体"/>
          <w:color w:val="auto"/>
        </w:rPr>
        <w:t>关闭加热装置。</w:t>
      </w:r>
    </w:p>
    <w:p>
      <w:pPr>
        <w:pStyle w:val="106"/>
        <w:ind w:left="0"/>
        <w:rPr>
          <w:rFonts w:hAnsi="宋体"/>
          <w:color w:val="auto"/>
        </w:rPr>
      </w:pPr>
      <w:r>
        <w:rPr>
          <w:rFonts w:hint="eastAsia" w:ascii="Times New Roman"/>
          <w:color w:val="auto"/>
        </w:rPr>
        <w:t>以下是判定是否发生热失控的条件：</w:t>
      </w:r>
    </w:p>
    <w:p>
      <w:pPr>
        <w:pStyle w:val="27"/>
        <w:rPr>
          <w:rFonts w:ascii="Times New Roman"/>
          <w:color w:val="auto"/>
          <w:kern w:val="21"/>
          <w:szCs w:val="21"/>
        </w:rPr>
      </w:pPr>
      <w:r>
        <w:rPr>
          <w:rFonts w:hint="eastAsia" w:ascii="Times New Roman"/>
          <w:color w:val="auto"/>
          <w:kern w:val="21"/>
          <w:szCs w:val="21"/>
        </w:rPr>
        <w:t>a</w:t>
      </w:r>
      <w:r>
        <w:rPr>
          <w:rFonts w:ascii="Times New Roman"/>
          <w:color w:val="auto"/>
          <w:kern w:val="21"/>
          <w:szCs w:val="21"/>
        </w:rPr>
        <w:t>)</w:t>
      </w:r>
      <w:r>
        <w:rPr>
          <w:rFonts w:hint="eastAsia" w:ascii="Times New Roman"/>
          <w:color w:val="auto"/>
          <w:kern w:val="21"/>
          <w:szCs w:val="21"/>
        </w:rPr>
        <w:t>测试对象产生电压降；</w:t>
      </w:r>
    </w:p>
    <w:p>
      <w:pPr>
        <w:pStyle w:val="27"/>
        <w:rPr>
          <w:rFonts w:ascii="Times New Roman"/>
          <w:color w:val="auto"/>
          <w:kern w:val="21"/>
          <w:szCs w:val="21"/>
        </w:rPr>
      </w:pPr>
      <w:r>
        <w:rPr>
          <w:rFonts w:hint="eastAsia" w:ascii="Times New Roman"/>
          <w:color w:val="auto"/>
          <w:kern w:val="21"/>
          <w:szCs w:val="21"/>
        </w:rPr>
        <w:t>b</w:t>
      </w:r>
      <w:r>
        <w:rPr>
          <w:rFonts w:ascii="Times New Roman"/>
          <w:color w:val="auto"/>
          <w:kern w:val="21"/>
          <w:szCs w:val="21"/>
        </w:rPr>
        <w:t>)</w:t>
      </w:r>
      <w:r>
        <w:rPr>
          <w:rFonts w:hint="eastAsia" w:ascii="Times New Roman"/>
          <w:color w:val="auto"/>
          <w:kern w:val="21"/>
          <w:szCs w:val="21"/>
        </w:rPr>
        <w:t>监测点温度达到电池厂商规定的最高工作温度；</w:t>
      </w:r>
    </w:p>
    <w:p>
      <w:pPr>
        <w:pStyle w:val="27"/>
        <w:rPr>
          <w:rFonts w:ascii="Times New Roman"/>
          <w:color w:val="auto"/>
          <w:kern w:val="21"/>
          <w:szCs w:val="21"/>
        </w:rPr>
      </w:pPr>
      <w:r>
        <w:rPr>
          <w:rFonts w:hint="eastAsia" w:ascii="Times New Roman"/>
          <w:color w:val="auto"/>
          <w:kern w:val="21"/>
          <w:szCs w:val="21"/>
        </w:rPr>
        <w:t>c</w:t>
      </w:r>
      <w:r>
        <w:rPr>
          <w:rFonts w:ascii="Times New Roman"/>
          <w:color w:val="auto"/>
          <w:kern w:val="21"/>
          <w:szCs w:val="21"/>
        </w:rPr>
        <w:t>)</w:t>
      </w:r>
      <w:r>
        <w:rPr>
          <w:rFonts w:hint="eastAsia" w:ascii="Times New Roman"/>
          <w:color w:val="auto"/>
          <w:kern w:val="21"/>
          <w:szCs w:val="21"/>
        </w:rPr>
        <w:t>监测点的温升速率</w:t>
      </w:r>
      <w:r>
        <w:rPr>
          <w:rFonts w:ascii="Times New Roman"/>
          <w:color w:val="auto"/>
          <w:kern w:val="21"/>
          <w:szCs w:val="21"/>
        </w:rPr>
        <w:t>dT/dt</w:t>
      </w:r>
      <w:r>
        <w:rPr>
          <w:rFonts w:hint="eastAsia" w:ascii="Times New Roman"/>
          <w:color w:val="auto"/>
          <w:kern w:val="21"/>
          <w:szCs w:val="21"/>
        </w:rPr>
        <w:t>≥</w:t>
      </w:r>
      <w:r>
        <w:rPr>
          <w:rFonts w:ascii="Times New Roman"/>
          <w:color w:val="auto"/>
          <w:kern w:val="21"/>
          <w:szCs w:val="21"/>
        </w:rPr>
        <w:t>1</w:t>
      </w:r>
      <w:r>
        <w:rPr>
          <w:rFonts w:hint="eastAsia" w:ascii="Times New Roman"/>
          <w:color w:val="auto"/>
          <w:kern w:val="21"/>
          <w:szCs w:val="21"/>
        </w:rPr>
        <w:t>℃</w:t>
      </w:r>
      <w:r>
        <w:rPr>
          <w:rFonts w:ascii="Times New Roman"/>
          <w:color w:val="auto"/>
          <w:kern w:val="21"/>
          <w:szCs w:val="21"/>
        </w:rPr>
        <w:t>/s</w:t>
      </w:r>
    </w:p>
    <w:p>
      <w:pPr>
        <w:pStyle w:val="27"/>
        <w:rPr>
          <w:rFonts w:ascii="Times New Roman"/>
          <w:color w:val="auto"/>
          <w:kern w:val="21"/>
          <w:szCs w:val="21"/>
        </w:rPr>
      </w:pPr>
      <w:r>
        <w:rPr>
          <w:rFonts w:hint="eastAsia" w:ascii="Times New Roman"/>
          <w:color w:val="auto"/>
          <w:kern w:val="21"/>
          <w:szCs w:val="21"/>
        </w:rPr>
        <w:t>当a</w:t>
      </w:r>
      <w:r>
        <w:rPr>
          <w:rFonts w:ascii="Times New Roman"/>
          <w:color w:val="auto"/>
          <w:kern w:val="21"/>
          <w:szCs w:val="21"/>
        </w:rPr>
        <w:t>)&amp;</w:t>
      </w:r>
      <w:r>
        <w:rPr>
          <w:rFonts w:hint="eastAsia" w:ascii="Times New Roman"/>
          <w:color w:val="auto"/>
          <w:kern w:val="21"/>
          <w:szCs w:val="21"/>
        </w:rPr>
        <w:t>c</w:t>
      </w:r>
      <w:r>
        <w:rPr>
          <w:rFonts w:ascii="Times New Roman"/>
          <w:color w:val="auto"/>
          <w:kern w:val="21"/>
          <w:szCs w:val="21"/>
        </w:rPr>
        <w:t>)</w:t>
      </w:r>
      <w:r>
        <w:rPr>
          <w:rFonts w:hint="eastAsia" w:ascii="Times New Roman"/>
          <w:color w:val="auto"/>
          <w:kern w:val="21"/>
          <w:szCs w:val="21"/>
        </w:rPr>
        <w:t>或者b</w:t>
      </w:r>
      <w:r>
        <w:rPr>
          <w:rFonts w:ascii="Times New Roman"/>
          <w:color w:val="auto"/>
          <w:kern w:val="21"/>
          <w:szCs w:val="21"/>
        </w:rPr>
        <w:t>)&amp;</w:t>
      </w:r>
      <w:r>
        <w:rPr>
          <w:rFonts w:hint="eastAsia" w:ascii="Times New Roman"/>
          <w:color w:val="auto"/>
          <w:kern w:val="21"/>
          <w:szCs w:val="21"/>
        </w:rPr>
        <w:t>c</w:t>
      </w:r>
      <w:r>
        <w:rPr>
          <w:rFonts w:ascii="Times New Roman"/>
          <w:color w:val="auto"/>
          <w:kern w:val="21"/>
          <w:szCs w:val="21"/>
        </w:rPr>
        <w:t>)</w:t>
      </w:r>
      <w:r>
        <w:rPr>
          <w:rFonts w:hint="eastAsia" w:ascii="Times New Roman"/>
          <w:color w:val="auto"/>
          <w:kern w:val="21"/>
          <w:szCs w:val="21"/>
        </w:rPr>
        <w:t>发生时，判定发生热失控。</w:t>
      </w:r>
    </w:p>
    <w:p>
      <w:pPr>
        <w:pStyle w:val="106"/>
        <w:ind w:left="0"/>
        <w:rPr>
          <w:rFonts w:ascii="Times New Roman"/>
          <w:color w:val="auto"/>
        </w:rPr>
      </w:pPr>
      <w:r>
        <w:rPr>
          <w:rFonts w:hint="eastAsia" w:hAnsi="宋体"/>
          <w:color w:val="auto"/>
        </w:rPr>
        <w:t>加热过程中及加热结束</w:t>
      </w:r>
      <w:r>
        <w:rPr>
          <w:rFonts w:hAnsi="宋体"/>
          <w:color w:val="auto"/>
        </w:rPr>
        <w:t>1</w:t>
      </w:r>
      <w:r>
        <w:rPr>
          <w:rFonts w:hint="eastAsia" w:hAnsi="宋体"/>
          <w:color w:val="auto"/>
        </w:rPr>
        <w:t xml:space="preserve"> </w:t>
      </w:r>
      <w:r>
        <w:rPr>
          <w:rFonts w:hAnsi="宋体"/>
          <w:color w:val="auto"/>
        </w:rPr>
        <w:t>h内，如果发生起火、爆炸现象，则试验终止。</w:t>
      </w:r>
    </w:p>
    <w:p>
      <w:pPr>
        <w:pStyle w:val="104"/>
        <w:numPr>
          <w:ilvl w:val="0"/>
          <w:numId w:val="0"/>
        </w:numPr>
        <w:tabs>
          <w:tab w:val="clear" w:pos="0"/>
          <w:tab w:val="clear" w:pos="839"/>
        </w:tabs>
        <w:spacing w:before="312" w:after="312"/>
        <w:ind w:left="1702"/>
        <w:rPr>
          <w:color w:val="auto"/>
        </w:rPr>
      </w:pPr>
    </w:p>
    <w:tbl>
      <w:tblPr>
        <w:tblStyle w:val="45"/>
        <w:tblW w:w="957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04"/>
        <w:gridCol w:w="222"/>
        <w:gridCol w:w="222"/>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904" w:type="dxa"/>
          </w:tcPr>
          <w:tbl>
            <w:tblPr>
              <w:tblStyle w:val="44"/>
              <w:tblW w:w="9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2"/>
              <w:gridCol w:w="1897"/>
              <w:gridCol w:w="1697"/>
              <w:gridCol w:w="3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2" w:type="dxa"/>
                </w:tcPr>
                <w:p>
                  <w:pPr>
                    <w:pStyle w:val="106"/>
                    <w:widowControl w:val="0"/>
                    <w:numPr>
                      <w:ilvl w:val="0"/>
                      <w:numId w:val="0"/>
                    </w:numPr>
                    <w:tabs>
                      <w:tab w:val="clear" w:pos="0"/>
                      <w:tab w:val="clear" w:pos="839"/>
                    </w:tabs>
                    <w:spacing w:line="360" w:lineRule="auto"/>
                    <w:jc w:val="center"/>
                    <w:rPr>
                      <w:rFonts w:ascii="Times New Roman"/>
                      <w:color w:val="auto"/>
                    </w:rPr>
                  </w:pPr>
                  <w:r>
                    <w:rPr>
                      <w:rFonts w:hint="eastAsia" w:ascii="Times New Roman"/>
                      <w:color w:val="auto"/>
                    </w:rPr>
                    <w:t>硬壳及软包电池</w:t>
                  </w:r>
                </w:p>
              </w:tc>
              <w:tc>
                <w:tcPr>
                  <w:tcW w:w="1897" w:type="dxa"/>
                </w:tcPr>
                <w:p>
                  <w:pPr>
                    <w:pStyle w:val="106"/>
                    <w:widowControl w:val="0"/>
                    <w:numPr>
                      <w:ilvl w:val="0"/>
                      <w:numId w:val="0"/>
                    </w:numPr>
                    <w:tabs>
                      <w:tab w:val="clear" w:pos="0"/>
                      <w:tab w:val="clear" w:pos="839"/>
                    </w:tabs>
                    <w:spacing w:line="360" w:lineRule="auto"/>
                    <w:jc w:val="center"/>
                    <w:rPr>
                      <w:rFonts w:ascii="Times New Roman"/>
                      <w:color w:val="auto"/>
                    </w:rPr>
                  </w:pPr>
                  <w:r>
                    <w:rPr>
                      <w:rFonts w:hint="eastAsia" w:ascii="Times New Roman"/>
                      <w:color w:val="auto"/>
                    </w:rPr>
                    <w:t>圆柱形电池</w:t>
                  </w:r>
                  <w:r>
                    <w:rPr>
                      <w:rFonts w:ascii="Times New Roman"/>
                      <w:color w:val="auto"/>
                    </w:rPr>
                    <w:t>-I</w:t>
                  </w:r>
                </w:p>
              </w:tc>
              <w:tc>
                <w:tcPr>
                  <w:tcW w:w="1697" w:type="dxa"/>
                </w:tcPr>
                <w:p>
                  <w:pPr>
                    <w:pStyle w:val="106"/>
                    <w:widowControl w:val="0"/>
                    <w:numPr>
                      <w:ilvl w:val="0"/>
                      <w:numId w:val="0"/>
                    </w:numPr>
                    <w:tabs>
                      <w:tab w:val="clear" w:pos="0"/>
                      <w:tab w:val="clear" w:pos="839"/>
                    </w:tabs>
                    <w:spacing w:line="360" w:lineRule="auto"/>
                    <w:jc w:val="center"/>
                    <w:rPr>
                      <w:rFonts w:ascii="Times New Roman"/>
                      <w:color w:val="auto"/>
                    </w:rPr>
                  </w:pPr>
                  <w:r>
                    <w:rPr>
                      <w:rFonts w:hint="eastAsia" w:ascii="Times New Roman"/>
                      <w:color w:val="auto"/>
                    </w:rPr>
                    <w:t>圆柱形电池</w:t>
                  </w:r>
                  <w:r>
                    <w:rPr>
                      <w:rFonts w:ascii="Times New Roman"/>
                      <w:color w:val="auto"/>
                    </w:rPr>
                    <w:t>-II</w:t>
                  </w:r>
                </w:p>
              </w:tc>
              <w:tc>
                <w:tcPr>
                  <w:tcW w:w="3373" w:type="dxa"/>
                </w:tcPr>
                <w:p>
                  <w:pPr>
                    <w:pStyle w:val="106"/>
                    <w:widowControl w:val="0"/>
                    <w:numPr>
                      <w:ilvl w:val="0"/>
                      <w:numId w:val="0"/>
                    </w:numPr>
                    <w:tabs>
                      <w:tab w:val="clear" w:pos="0"/>
                      <w:tab w:val="clear" w:pos="839"/>
                    </w:tabs>
                    <w:spacing w:line="360" w:lineRule="auto"/>
                    <w:jc w:val="center"/>
                    <w:rPr>
                      <w:rFonts w:ascii="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2" w:type="dxa"/>
                </w:tcPr>
                <w:p>
                  <w:pPr>
                    <w:pStyle w:val="106"/>
                    <w:widowControl w:val="0"/>
                    <w:numPr>
                      <w:ilvl w:val="0"/>
                      <w:numId w:val="0"/>
                    </w:numPr>
                    <w:tabs>
                      <w:tab w:val="clear" w:pos="0"/>
                      <w:tab w:val="clear" w:pos="839"/>
                    </w:tabs>
                    <w:spacing w:line="360" w:lineRule="auto"/>
                    <w:jc w:val="center"/>
                    <w:rPr>
                      <w:rFonts w:ascii="Times New Roman"/>
                      <w:color w:val="auto"/>
                    </w:rPr>
                  </w:pPr>
                  <w:r>
                    <w:rPr>
                      <w:rFonts w:ascii="Times New Roman"/>
                      <w:color w:val="auto"/>
                    </w:rPr>
                    <w:drawing>
                      <wp:inline distT="0" distB="0" distL="0" distR="0">
                        <wp:extent cx="1065530" cy="935990"/>
                        <wp:effectExtent l="0" t="0" r="0" b="0"/>
                        <wp:docPr id="2" name="图片 2"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9"/>
                                <pic:cNvPicPr>
                                  <a:picLocks noChangeAspect="1" noChangeArrowheads="1"/>
                                </pic:cNvPicPr>
                              </pic:nvPicPr>
                              <pic:blipFill>
                                <a:blip r:embed="rId6" cstate="print">
                                  <a:extLst>
                                    <a:ext uri="{28A0092B-C50C-407E-A947-70E740481C1C}">
                                      <a14:useLocalDpi xmlns:a14="http://schemas.microsoft.com/office/drawing/2010/main" val="0"/>
                                    </a:ext>
                                  </a:extLst>
                                </a:blip>
                                <a:srcRect t="11961" r="77031" b="19126"/>
                                <a:stretch>
                                  <a:fillRect/>
                                </a:stretch>
                              </pic:blipFill>
                              <pic:spPr>
                                <a:xfrm>
                                  <a:off x="0" y="0"/>
                                  <a:ext cx="1066000" cy="936000"/>
                                </a:xfrm>
                                <a:prstGeom prst="rect">
                                  <a:avLst/>
                                </a:prstGeom>
                                <a:noFill/>
                                <a:ln>
                                  <a:noFill/>
                                </a:ln>
                              </pic:spPr>
                            </pic:pic>
                          </a:graphicData>
                        </a:graphic>
                      </wp:inline>
                    </w:drawing>
                  </w:r>
                </w:p>
              </w:tc>
              <w:tc>
                <w:tcPr>
                  <w:tcW w:w="1897" w:type="dxa"/>
                </w:tcPr>
                <w:p>
                  <w:pPr>
                    <w:pStyle w:val="106"/>
                    <w:numPr>
                      <w:ilvl w:val="0"/>
                      <w:numId w:val="0"/>
                    </w:numPr>
                    <w:tabs>
                      <w:tab w:val="clear" w:pos="0"/>
                      <w:tab w:val="clear" w:pos="839"/>
                    </w:tabs>
                    <w:spacing w:line="360" w:lineRule="auto"/>
                    <w:jc w:val="left"/>
                    <w:rPr>
                      <w:rFonts w:ascii="Times New Roman"/>
                      <w:color w:val="auto"/>
                    </w:rPr>
                  </w:pPr>
                  <w:r>
                    <w:rPr>
                      <w:rFonts w:ascii="Times New Roman"/>
                      <w:color w:val="auto"/>
                    </w:rPr>
                    <w:drawing>
                      <wp:inline distT="0" distB="0" distL="0" distR="0">
                        <wp:extent cx="1062990" cy="935990"/>
                        <wp:effectExtent l="0" t="0" r="3810" b="0"/>
                        <wp:docPr id="1" name="图片 3"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图片19"/>
                                <pic:cNvPicPr>
                                  <a:picLocks noChangeAspect="1" noChangeArrowheads="1"/>
                                </pic:cNvPicPr>
                              </pic:nvPicPr>
                              <pic:blipFill>
                                <a:blip r:embed="rId7" cstate="print">
                                  <a:extLst>
                                    <a:ext uri="{28A0092B-C50C-407E-A947-70E740481C1C}">
                                      <a14:useLocalDpi xmlns:a14="http://schemas.microsoft.com/office/drawing/2010/main" val="0"/>
                                    </a:ext>
                                  </a:extLst>
                                </a:blip>
                                <a:srcRect l="24929" t="11961" r="45799"/>
                                <a:stretch>
                                  <a:fillRect/>
                                </a:stretch>
                              </pic:blipFill>
                              <pic:spPr>
                                <a:xfrm>
                                  <a:off x="0" y="0"/>
                                  <a:ext cx="1063368" cy="936000"/>
                                </a:xfrm>
                                <a:prstGeom prst="rect">
                                  <a:avLst/>
                                </a:prstGeom>
                                <a:noFill/>
                                <a:ln>
                                  <a:noFill/>
                                </a:ln>
                              </pic:spPr>
                            </pic:pic>
                          </a:graphicData>
                        </a:graphic>
                      </wp:inline>
                    </w:drawing>
                  </w:r>
                </w:p>
              </w:tc>
              <w:tc>
                <w:tcPr>
                  <w:tcW w:w="1697" w:type="dxa"/>
                </w:tcPr>
                <w:p>
                  <w:pPr>
                    <w:pStyle w:val="106"/>
                    <w:numPr>
                      <w:ilvl w:val="0"/>
                      <w:numId w:val="0"/>
                    </w:numPr>
                    <w:tabs>
                      <w:tab w:val="clear" w:pos="0"/>
                      <w:tab w:val="clear" w:pos="839"/>
                    </w:tabs>
                    <w:spacing w:line="360" w:lineRule="auto"/>
                    <w:jc w:val="center"/>
                    <w:rPr>
                      <w:rFonts w:ascii="Times New Roman"/>
                      <w:color w:val="auto"/>
                    </w:rPr>
                  </w:pPr>
                  <w:r>
                    <w:rPr>
                      <w:rFonts w:ascii="Times New Roman"/>
                      <w:color w:val="auto"/>
                    </w:rPr>
                    <w:drawing>
                      <wp:inline distT="0" distB="0" distL="0" distR="0">
                        <wp:extent cx="675640" cy="935990"/>
                        <wp:effectExtent l="0" t="0" r="0" b="0"/>
                        <wp:docPr id="6" name="图片 4"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图片19"/>
                                <pic:cNvPicPr>
                                  <a:picLocks noChangeAspect="1" noChangeArrowheads="1"/>
                                </pic:cNvPicPr>
                              </pic:nvPicPr>
                              <pic:blipFill>
                                <a:blip r:embed="rId6" cstate="print">
                                  <a:extLst>
                                    <a:ext uri="{28A0092B-C50C-407E-A947-70E740481C1C}">
                                      <a14:useLocalDpi xmlns:a14="http://schemas.microsoft.com/office/drawing/2010/main" val="0"/>
                                    </a:ext>
                                  </a:extLst>
                                </a:blip>
                                <a:srcRect l="54622" t="27754" r="32353" b="10623"/>
                                <a:stretch>
                                  <a:fillRect/>
                                </a:stretch>
                              </pic:blipFill>
                              <pic:spPr>
                                <a:xfrm>
                                  <a:off x="0" y="0"/>
                                  <a:ext cx="676001" cy="936000"/>
                                </a:xfrm>
                                <a:prstGeom prst="rect">
                                  <a:avLst/>
                                </a:prstGeom>
                                <a:noFill/>
                                <a:ln>
                                  <a:noFill/>
                                </a:ln>
                              </pic:spPr>
                            </pic:pic>
                          </a:graphicData>
                        </a:graphic>
                      </wp:inline>
                    </w:drawing>
                  </w:r>
                </w:p>
              </w:tc>
              <w:tc>
                <w:tcPr>
                  <w:tcW w:w="3373" w:type="dxa"/>
                </w:tcPr>
                <w:p>
                  <w:pPr>
                    <w:pStyle w:val="106"/>
                    <w:widowControl w:val="0"/>
                    <w:numPr>
                      <w:ilvl w:val="0"/>
                      <w:numId w:val="0"/>
                    </w:numPr>
                    <w:tabs>
                      <w:tab w:val="clear" w:pos="0"/>
                      <w:tab w:val="clear" w:pos="839"/>
                    </w:tabs>
                    <w:spacing w:line="360" w:lineRule="auto"/>
                    <w:jc w:val="center"/>
                    <w:rPr>
                      <w:rFonts w:ascii="Times New Roman"/>
                      <w:color w:val="auto"/>
                    </w:rPr>
                  </w:pPr>
                  <w:r>
                    <w:rPr>
                      <w:rFonts w:ascii="Times New Roman"/>
                      <w:color w:val="auto"/>
                    </w:rPr>
                    <w:pict>
                      <v:group id="_x0000_s1026" o:spid="_x0000_s1026" o:spt="203" style="position:absolute;left:0pt;margin-left:-1.7pt;margin-top:4.2pt;height:66.75pt;width:162.45pt;z-index:251662336;mso-width-relative:margin;mso-height-relative:margin;" coordsize="20635,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">
                        <o:lock v:ext="edit"/>
                        <v:shape id="文本框 6" o:spid="_x0000_s1027" o:spt="202" type="#_x0000_t202" style="position:absolute;left:0;top:0;height:8480;width:20635;" fillcolor="#FFFFFF [3201]"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v:path/>
                          <v:fill on="t" focussize="0,0"/>
                          <v:stroke weight="0.5pt" joinstyle="miter"/>
                          <v:imagedata o:title=""/>
                          <o:lock v:ext="edit"/>
                          <v:textbox>
                            <w:txbxContent>
                              <w:p>
                                <w:pPr/>
                                <w:r>
                                  <w:rPr>
                                    <w:rFonts w:hint="eastAsia"/>
                                  </w:rPr>
                                  <w:t xml:space="preserve">           加热装置</w:t>
                                </w:r>
                              </w:p>
                              <w:p>
                                <w:pPr/>
                                <w:r>
                                  <w:rPr>
                                    <w:rFonts w:hint="eastAsia"/>
                                  </w:rPr>
                                  <w:t xml:space="preserve">           加热装置(电阻丝)</w:t>
                                </w:r>
                              </w:p>
                              <w:p>
                                <w:pPr>
                                  <w:pStyle w:val="155"/>
                                  <w:ind w:left="420" w:firstLine="0" w:firstLineChars="0"/>
                                </w:pPr>
                                <w:r>
                                  <w:rPr>
                                    <w:rFonts w:hint="eastAsia"/>
                                  </w:rPr>
                                  <w:t xml:space="preserve">       温度监测器</w:t>
                                </w:r>
                              </w:p>
                              <w:p>
                                <w:pPr>
                                  <w:pStyle w:val="155"/>
                                  <w:ind w:left="420" w:firstLine="0" w:firstLineChars="0"/>
                                </w:pPr>
                                <w:r>
                                  <w:rPr>
                                    <w:rFonts w:hint="eastAsia"/>
                                  </w:rPr>
                                  <w:t xml:space="preserve">       连接</w:t>
                                </w:r>
                              </w:p>
                              <w:p>
                                <w:pPr>
                                  <w:pStyle w:val="155"/>
                                  <w:ind w:left="420" w:firstLine="0" w:firstLineChars="0"/>
                                </w:pPr>
                              </w:p>
                            </w:txbxContent>
                          </v:textbox>
                        </v:shape>
                        <v:rect id="矩形 7" o:spid="_x0000_s1028" o:spt="1" style="position:absolute;left:1548;top:663;height:1251;width:3607;v-text-anchor:middle;" fillcolor="#000000 [3213]"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e3MIA&#10;AADaAAAADwAAAGRycy9kb3ducmV2LnhtbESPwU7DMBBE70j9B2srcaNOOaQQ6lZVpSDgRtsDx1W8&#10;xFHjdWovafh7jITEcTQzbzTr7eR7NVJMXWADy0UBirgJtuPWwOlY3z2ASoJssQ9MBr4pwXYzu1lj&#10;ZcOV32k8SKsyhFOFBpzIUGmdGkce0yIMxNn7DNGjZBlbbSNeM9z3+r4oSu2x47zgcKC9o+Z8+PIG&#10;Sjl9oFxe4xkfn3scV2Xt6jdjbufT7gmU0CT/4b/2izWwgt8r+Qbo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p7cwgAAANoAAAAPAAAAAAAAAAAAAAAAAJgCAABkcnMvZG93&#10;bnJldi54bWxQSwUGAAAAAAQABAD1AAAAhwMAAAAA&#10;">
                          <v:path/>
                          <v:fill on="t" focussize="0,0"/>
                          <v:stroke weight="2pt" color="#000000 [3213]"/>
                          <v:imagedata o:title=""/>
                          <o:lock v:ext="edit"/>
                        </v:rect>
                        <v:shape id="椭圆 8" o:spid="_x0000_s1029" o:spt="3" type="#_x0000_t3" style="position:absolute;left:2875;top:4940;height:718;width:718;v-text-anchor:middle;" fillcolor="#000000 [3213]"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25C7wA&#10;AADaAAAADwAAAGRycy9kb3ducmV2LnhtbERPzQ4BMRC+S7xDMxIXoYtEZCkRiXBwYT3ApB27y3a6&#10;tsV6ez1IHL98/8t1ayvxosaXjhWMRwkIYu1MybmCS7YbzkH4gGywckwKPuRhvep2lpga9+YTvc4h&#10;FzGEfYoKihDqVEqvC7LoR64mjtzVNRZDhE0uTYPvGG4rOUmSmbRYcmwosKZtQfp+floF2fXovT1d&#10;9CebTZ764aa3wXyvVL/XbhYgArXhL/65D0ZB3BqvxBs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kbbkLvAAAANoAAAAPAAAAAAAAAAAAAAAAAJgCAABkcnMvZG93bnJldi54&#10;bWxQSwUGAAAAAAQABAD1AAAAgQMAAAAA&#10;">
                          <v:path/>
                          <v:fill on="t" focussize="0,0"/>
                          <v:stroke weight="2pt" color="#000000 [3213]"/>
                          <v:imagedata o:title=""/>
                          <o:lock v:ext="edit"/>
                        </v:shape>
                        <v:shape id="左右箭头 9" o:spid="_x0000_s1030" o:spt="69" type="#_x0000_t69" style="position:absolute;left:1769;top:6858;height:1028;width:2655;v-text-anchor:middle;"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eN8IA&#10;AADaAAAADwAAAGRycy9kb3ducmV2LnhtbESPwWrDMBBE74X8g9hAb42cEorrRAkm4BB6at2Q8yJt&#10;bBNr5Uhq7P59VSj0OMzMG2azm2wv7uRD51jBcpGBINbOdNwoOH1WTzmIEJEN9o5JwTcF2G1nDxss&#10;jBv5g+51bESCcChQQRvjUEgZdEsWw8INxMm7OG8xJukbaTyOCW57+ZxlL9Jix2mhxYH2Lelr/WUV&#10;dD4/lKPO3ldX7U6r/nxjW70p9TifyjWISFP8D/+1j0bBK/xeSTd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p43wgAAANoAAAAPAAAAAAAAAAAAAAAAAJgCAABkcnMvZG93&#10;bnJldi54bWxQSwUGAAAAAAQABAD1AAAAhwMAAAAA&#10;" adj="4186">
                          <v:path/>
                          <v:fill on="f" focussize="0,0"/>
                          <v:stroke weight="2pt" color="#000000 [3213]" joinstyle="miter"/>
                          <v:imagedata o:title=""/>
                          <o:lock v:ext="edit"/>
                        </v:shape>
                        <v:shape id="曲线连接符 10" o:spid="_x0000_s1031" o:spt="38" type="#_x0000_t38" style="position:absolute;left:1769;top:2875;flip:y;height:1105;width:3004;" o:connectortype="curved"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2UhcQAAADbAAAADwAAAGRycy9kb3ducmV2LnhtbESPzWoCQRCE7wHfYWjBW5xVxGQ3jiKC&#10;oAeRmDxAu9P7k+z0LDujrm9vHwRv3VR11deLVe8adaUu1J4NTMYJKOLc25pLA78/2/dPUCEiW2w8&#10;k4E7BVgtB28LzKy/8TddT7FUEsIhQwNVjG2mdcgrchjGviUWrfCdwyhrV2rb4U3CXaOnSTLXDmuW&#10;hgpb2lSU/58uzkBBx/7vfqgns5A2aXren2dF+2HMaNivv0BF6uPL/LzeWcEXevlFBt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LZSFxAAAANsAAAAPAAAAAAAAAAAA&#10;AAAAAKECAABkcnMvZG93bnJldi54bWxQSwUGAAAAAAQABAD5AAAAkgMAAAAA&#10;" adj="10800">
                          <v:path arrowok="t"/>
                          <v:fill on="f" focussize="0,0"/>
                          <v:stroke weight="3pt" color="#000000 [3213]"/>
                          <v:imagedata o:title=""/>
                          <o:lock v:ext="edit"/>
                        </v:shape>
                      </v:group>
                    </w:pict>
                  </w:r>
                </w:p>
              </w:tc>
            </w:tr>
          </w:tbl>
          <w:p>
            <w:pPr>
              <w:pStyle w:val="106"/>
              <w:widowControl/>
              <w:numPr>
                <w:ilvl w:val="0"/>
                <w:numId w:val="0"/>
              </w:numPr>
              <w:tabs>
                <w:tab w:val="clear" w:pos="0"/>
                <w:tab w:val="clear" w:pos="839"/>
              </w:tabs>
              <w:jc w:val="center"/>
              <w:rPr>
                <w:rFonts w:hAnsi="宋体"/>
                <w:color w:val="auto"/>
              </w:rPr>
            </w:pPr>
          </w:p>
        </w:tc>
        <w:tc>
          <w:tcPr>
            <w:tcW w:w="222" w:type="dxa"/>
          </w:tcPr>
          <w:p>
            <w:pPr>
              <w:pStyle w:val="106"/>
              <w:widowControl/>
              <w:numPr>
                <w:ilvl w:val="0"/>
                <w:numId w:val="0"/>
              </w:numPr>
              <w:tabs>
                <w:tab w:val="clear" w:pos="0"/>
                <w:tab w:val="clear" w:pos="839"/>
              </w:tabs>
              <w:jc w:val="center"/>
              <w:rPr>
                <w:rFonts w:hAnsi="宋体"/>
                <w:color w:val="auto"/>
              </w:rPr>
            </w:pPr>
          </w:p>
        </w:tc>
        <w:tc>
          <w:tcPr>
            <w:tcW w:w="222" w:type="dxa"/>
          </w:tcPr>
          <w:p>
            <w:pPr>
              <w:pStyle w:val="106"/>
              <w:widowControl/>
              <w:numPr>
                <w:ilvl w:val="0"/>
                <w:numId w:val="0"/>
              </w:numPr>
              <w:tabs>
                <w:tab w:val="clear" w:pos="0"/>
                <w:tab w:val="clear" w:pos="839"/>
              </w:tabs>
              <w:jc w:val="center"/>
              <w:rPr>
                <w:rFonts w:hAnsi="宋体"/>
                <w:color w:val="auto"/>
              </w:rPr>
            </w:pPr>
          </w:p>
        </w:tc>
        <w:tc>
          <w:tcPr>
            <w:tcW w:w="222" w:type="dxa"/>
          </w:tcPr>
          <w:p>
            <w:pPr>
              <w:pStyle w:val="106"/>
              <w:widowControl/>
              <w:numPr>
                <w:ilvl w:val="0"/>
                <w:numId w:val="0"/>
              </w:numPr>
              <w:tabs>
                <w:tab w:val="clear" w:pos="0"/>
                <w:tab w:val="clear" w:pos="839"/>
              </w:tabs>
              <w:jc w:val="center"/>
              <w:rPr>
                <w:rFonts w:hAnsi="宋体"/>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904" w:type="dxa"/>
          </w:tcPr>
          <w:p>
            <w:pPr>
              <w:spacing w:after="120"/>
              <w:ind w:right="1134"/>
              <w:jc w:val="center"/>
              <w:rPr>
                <w:rFonts w:ascii="黑体" w:hAnsi="黑体" w:eastAsia="黑体"/>
                <w:color w:val="auto"/>
                <w:kern w:val="21"/>
                <w:szCs w:val="21"/>
              </w:rPr>
            </w:pPr>
            <w:r>
              <w:rPr>
                <w:rFonts w:hint="eastAsia" w:ascii="黑体" w:hAnsi="黑体" w:eastAsia="黑体"/>
                <w:color w:val="auto"/>
              </w:rPr>
              <w:t>图A</w:t>
            </w:r>
            <w:r>
              <w:rPr>
                <w:rFonts w:ascii="黑体" w:hAnsi="黑体" w:eastAsia="黑体"/>
                <w:color w:val="auto"/>
              </w:rPr>
              <w:t>.1</w:t>
            </w:r>
            <w:r>
              <w:rPr>
                <w:rFonts w:hint="eastAsia" w:ascii="黑体" w:hAnsi="黑体" w:eastAsia="黑体"/>
                <w:color w:val="auto"/>
                <w:kern w:val="21"/>
                <w:szCs w:val="21"/>
              </w:rPr>
              <w:t>加热触发时温度传感器的布置位置示意图</w:t>
            </w:r>
          </w:p>
          <w:p>
            <w:pPr>
              <w:pStyle w:val="67"/>
              <w:widowControl w:val="0"/>
              <w:numPr>
                <w:ilvl w:val="2"/>
                <w:numId w:val="0"/>
              </w:numPr>
              <w:tabs>
                <w:tab w:val="clear" w:pos="0"/>
                <w:tab w:val="clear" w:pos="57"/>
                <w:tab w:val="clear" w:pos="180"/>
                <w:tab w:val="clear" w:pos="363"/>
                <w:tab w:val="clear" w:pos="532"/>
                <w:tab w:val="clear" w:pos="851"/>
                <w:tab w:val="clear" w:pos="993"/>
                <w:tab w:val="clear" w:pos="1140"/>
                <w:tab w:val="clear" w:pos="1260"/>
                <w:tab w:val="clear" w:pos="1616"/>
                <w:tab w:val="clear" w:pos="2104"/>
              </w:tabs>
              <w:adjustRightInd w:val="0"/>
              <w:snapToGrid w:val="0"/>
              <w:spacing w:before="0" w:after="0"/>
              <w:jc w:val="center"/>
              <w:outlineLvl w:val="9"/>
              <w:rPr>
                <w:color w:val="auto"/>
              </w:rPr>
            </w:pPr>
          </w:p>
        </w:tc>
        <w:tc>
          <w:tcPr>
            <w:tcW w:w="222" w:type="dxa"/>
          </w:tcPr>
          <w:p>
            <w:pPr>
              <w:pStyle w:val="106"/>
              <w:widowControl w:val="0"/>
              <w:numPr>
                <w:ilvl w:val="0"/>
                <w:numId w:val="0"/>
              </w:numPr>
              <w:tabs>
                <w:tab w:val="clear" w:pos="0"/>
                <w:tab w:val="clear" w:pos="839"/>
              </w:tabs>
              <w:jc w:val="center"/>
              <w:rPr>
                <w:rFonts w:hAnsi="宋体"/>
                <w:color w:val="auto"/>
              </w:rPr>
            </w:pPr>
          </w:p>
        </w:tc>
        <w:tc>
          <w:tcPr>
            <w:tcW w:w="222" w:type="dxa"/>
          </w:tcPr>
          <w:p>
            <w:pPr>
              <w:pStyle w:val="106"/>
              <w:widowControl w:val="0"/>
              <w:numPr>
                <w:ilvl w:val="0"/>
                <w:numId w:val="0"/>
              </w:numPr>
              <w:tabs>
                <w:tab w:val="clear" w:pos="0"/>
                <w:tab w:val="clear" w:pos="839"/>
              </w:tabs>
              <w:jc w:val="center"/>
              <w:rPr>
                <w:rFonts w:hAnsi="宋体"/>
                <w:color w:val="auto"/>
              </w:rPr>
            </w:pPr>
          </w:p>
        </w:tc>
        <w:tc>
          <w:tcPr>
            <w:tcW w:w="222" w:type="dxa"/>
          </w:tcPr>
          <w:p>
            <w:pPr>
              <w:pStyle w:val="106"/>
              <w:widowControl w:val="0"/>
              <w:numPr>
                <w:ilvl w:val="0"/>
                <w:numId w:val="0"/>
              </w:numPr>
              <w:tabs>
                <w:tab w:val="clear" w:pos="0"/>
                <w:tab w:val="clear" w:pos="839"/>
              </w:tabs>
              <w:jc w:val="center"/>
              <w:rPr>
                <w:color w:val="auto"/>
              </w:rPr>
            </w:pPr>
          </w:p>
        </w:tc>
      </w:tr>
    </w:tbl>
    <w:p>
      <w:pPr>
        <w:pStyle w:val="67"/>
        <w:numPr>
          <w:ilvl w:val="2"/>
          <w:numId w:val="0"/>
        </w:numPr>
        <w:tabs>
          <w:tab w:val="clear" w:pos="0"/>
          <w:tab w:val="clear" w:pos="57"/>
          <w:tab w:val="clear" w:pos="180"/>
          <w:tab w:val="clear" w:pos="363"/>
          <w:tab w:val="clear" w:pos="532"/>
          <w:tab w:val="clear" w:pos="851"/>
          <w:tab w:val="clear" w:pos="993"/>
          <w:tab w:val="clear" w:pos="1140"/>
          <w:tab w:val="clear" w:pos="1260"/>
          <w:tab w:val="clear" w:pos="1616"/>
          <w:tab w:val="clear" w:pos="2104"/>
        </w:tabs>
        <w:ind w:left="1135"/>
        <w:jc w:val="center"/>
        <w:rPr>
          <w:color w:val="auto"/>
        </w:rPr>
      </w:pPr>
    </w:p>
    <w:p>
      <w:pPr>
        <w:pStyle w:val="67"/>
        <w:numPr>
          <w:ilvl w:val="2"/>
          <w:numId w:val="0"/>
        </w:numPr>
        <w:tabs>
          <w:tab w:val="clear" w:pos="0"/>
          <w:tab w:val="clear" w:pos="57"/>
          <w:tab w:val="clear" w:pos="180"/>
          <w:tab w:val="clear" w:pos="363"/>
          <w:tab w:val="clear" w:pos="532"/>
          <w:tab w:val="clear" w:pos="851"/>
          <w:tab w:val="clear" w:pos="993"/>
          <w:tab w:val="clear" w:pos="1140"/>
          <w:tab w:val="clear" w:pos="1260"/>
          <w:tab w:val="clear" w:pos="1616"/>
          <w:tab w:val="clear" w:pos="2104"/>
        </w:tabs>
        <w:ind w:left="1135"/>
        <w:jc w:val="center"/>
        <w:rPr>
          <w:color w:val="auto"/>
        </w:rPr>
      </w:pPr>
    </w:p>
    <w:p>
      <w:pPr>
        <w:widowControl/>
        <w:jc w:val="left"/>
        <w:rPr>
          <w:color w:val="auto"/>
        </w:rPr>
      </w:pPr>
      <w:r>
        <w:rPr>
          <w:color w:val="auto"/>
        </w:rPr>
        <w:br w:type="page"/>
      </w:r>
    </w:p>
    <w:p>
      <w:pPr>
        <w:pStyle w:val="87"/>
        <w:spacing w:after="0"/>
        <w:ind w:left="0"/>
        <w:rPr>
          <w:color w:val="auto"/>
          <w:sz w:val="24"/>
        </w:rPr>
      </w:pPr>
      <w:r>
        <w:rPr>
          <w:color w:val="auto"/>
        </w:rPr>
        <w:br w:type="textWrapping" w:clear="all"/>
      </w:r>
      <w:bookmarkStart w:id="157" w:name="_Toc452750840"/>
      <w:r>
        <w:rPr>
          <w:rFonts w:hint="eastAsia"/>
          <w:color w:val="auto"/>
          <w:sz w:val="24"/>
        </w:rPr>
        <w:t>可充电储能系统热失控扩展试验</w:t>
      </w:r>
      <w:bookmarkEnd w:id="157"/>
    </w:p>
    <w:p>
      <w:pPr>
        <w:pStyle w:val="27"/>
        <w:ind w:firstLine="0" w:firstLineChars="0"/>
        <w:jc w:val="center"/>
        <w:rPr>
          <w:rFonts w:hAnsi="黑体"/>
          <w:color w:val="auto"/>
        </w:rPr>
      </w:pPr>
      <w:r>
        <w:rPr>
          <w:rFonts w:hint="eastAsia" w:ascii="黑体" w:hAnsi="黑体" w:eastAsia="黑体"/>
          <w:color w:val="auto"/>
        </w:rPr>
        <w:t>(规范性附录)</w:t>
      </w:r>
    </w:p>
    <w:p>
      <w:pPr>
        <w:pStyle w:val="104"/>
        <w:spacing w:before="312" w:after="312"/>
        <w:ind w:left="0"/>
        <w:rPr>
          <w:color w:val="auto"/>
        </w:rPr>
      </w:pPr>
      <w:r>
        <w:rPr>
          <w:rFonts w:hint="eastAsia"/>
          <w:color w:val="auto"/>
        </w:rPr>
        <w:t>目的</w:t>
      </w:r>
    </w:p>
    <w:p>
      <w:pPr>
        <w:ind w:firstLine="420" w:firstLineChars="200"/>
        <w:rPr>
          <w:rFonts w:ascii="宋体"/>
          <w:color w:val="auto"/>
          <w:kern w:val="0"/>
          <w:szCs w:val="20"/>
        </w:rPr>
      </w:pPr>
      <w:r>
        <w:rPr>
          <w:rFonts w:hint="eastAsia" w:ascii="宋体"/>
          <w:color w:val="auto"/>
          <w:kern w:val="0"/>
          <w:szCs w:val="20"/>
        </w:rPr>
        <w:t>在车辆的蓄电池系统发生热失控时，确保车内乘客的人身安全。</w:t>
      </w:r>
    </w:p>
    <w:p>
      <w:pPr>
        <w:pStyle w:val="104"/>
        <w:spacing w:before="312" w:after="312"/>
        <w:ind w:left="0"/>
        <w:jc w:val="left"/>
        <w:rPr>
          <w:color w:val="auto"/>
        </w:rPr>
      </w:pPr>
      <w:r>
        <w:rPr>
          <w:rFonts w:hint="eastAsia"/>
          <w:color w:val="auto"/>
        </w:rPr>
        <w:t>测试对象</w:t>
      </w:r>
    </w:p>
    <w:p>
      <w:pPr>
        <w:pStyle w:val="27"/>
        <w:rPr>
          <w:color w:val="auto"/>
        </w:rPr>
      </w:pPr>
      <w:r>
        <w:rPr>
          <w:rFonts w:hint="eastAsia"/>
          <w:color w:val="auto"/>
        </w:rPr>
        <w:t>测试对象为整车或完整的车载可充电储能系统或包括蓄电池及电气连接的车载可充电储能系统子系统。制造商如果选择储能系统子系统作为测试对象，则需证明子系统的试验结果能够合理地反映完整的车载可充电储能系统在同等条件下的安全性能。如果储能系统的电子管理单元(BMS或其它装置)没有集成在封装蓄电池的壳体内，则必须保证电子管理单元能够正常运行并发送报警信号。</w:t>
      </w:r>
    </w:p>
    <w:p>
      <w:pPr>
        <w:pStyle w:val="104"/>
        <w:spacing w:before="312" w:after="312"/>
        <w:ind w:left="0"/>
        <w:rPr>
          <w:rFonts w:ascii="Times New Roman"/>
          <w:color w:val="auto"/>
        </w:rPr>
      </w:pPr>
      <w:r>
        <w:rPr>
          <w:rFonts w:hint="eastAsia" w:ascii="Times New Roman"/>
          <w:color w:val="auto"/>
        </w:rPr>
        <w:t>试验条件</w:t>
      </w:r>
    </w:p>
    <w:p>
      <w:pPr>
        <w:pStyle w:val="106"/>
        <w:numPr>
          <w:ilvl w:val="0"/>
          <w:numId w:val="0"/>
        </w:numPr>
        <w:tabs>
          <w:tab w:val="clear" w:pos="0"/>
          <w:tab w:val="clear" w:pos="839"/>
        </w:tabs>
        <w:ind w:left="420"/>
        <w:outlineLvl w:val="9"/>
        <w:rPr>
          <w:rFonts w:asciiTheme="minorEastAsia" w:hAnsiTheme="minorEastAsia" w:eastAsiaTheme="minorEastAsia"/>
          <w:color w:val="auto"/>
          <w:kern w:val="0"/>
        </w:rPr>
      </w:pPr>
      <w:r>
        <w:rPr>
          <w:rFonts w:hint="eastAsia" w:asciiTheme="minorEastAsia" w:hAnsiTheme="minorEastAsia" w:eastAsiaTheme="minorEastAsia"/>
          <w:color w:val="auto"/>
          <w:kern w:val="0"/>
        </w:rPr>
        <w:t>试验应在以下条件进行：</w:t>
      </w:r>
    </w:p>
    <w:p>
      <w:pPr>
        <w:pStyle w:val="106"/>
        <w:numPr>
          <w:ilvl w:val="0"/>
          <w:numId w:val="18"/>
        </w:numPr>
        <w:ind w:left="0" w:firstLine="420" w:firstLineChars="200"/>
        <w:outlineLvl w:val="9"/>
        <w:rPr>
          <w:rFonts w:asciiTheme="minorEastAsia" w:hAnsiTheme="minorEastAsia" w:eastAsiaTheme="minorEastAsia"/>
          <w:color w:val="auto"/>
          <w:kern w:val="0"/>
        </w:rPr>
      </w:pPr>
      <w:r>
        <w:rPr>
          <w:rFonts w:hint="eastAsia" w:asciiTheme="minorEastAsia" w:hAnsiTheme="minorEastAsia" w:eastAsiaTheme="minorEastAsia"/>
          <w:color w:val="auto"/>
        </w:rPr>
        <w:t>除另有规定外，试验应在温度为25±5 ℃，相对湿度为15%</w:t>
      </w:r>
      <w:r>
        <w:rPr>
          <w:rFonts w:hint="eastAsia" w:asciiTheme="minorEastAsia" w:hAnsiTheme="minorEastAsia" w:eastAsiaTheme="minorEastAsia"/>
          <w:color w:val="auto"/>
          <w:kern w:val="2"/>
          <w:szCs w:val="24"/>
        </w:rPr>
        <w:t>～</w:t>
      </w:r>
      <w:r>
        <w:rPr>
          <w:rFonts w:hint="eastAsia" w:asciiTheme="minorEastAsia" w:hAnsiTheme="minorEastAsia" w:eastAsiaTheme="minorEastAsia"/>
          <w:color w:val="auto"/>
        </w:rPr>
        <w:t>90%，大气压力为86 kPa</w:t>
      </w:r>
      <w:r>
        <w:rPr>
          <w:rFonts w:hint="eastAsia" w:asciiTheme="minorEastAsia" w:hAnsiTheme="minorEastAsia" w:eastAsiaTheme="minorEastAsia"/>
          <w:color w:val="auto"/>
          <w:kern w:val="2"/>
          <w:szCs w:val="24"/>
        </w:rPr>
        <w:t>～</w:t>
      </w:r>
      <w:r>
        <w:rPr>
          <w:rFonts w:hint="eastAsia" w:asciiTheme="minorEastAsia" w:hAnsiTheme="minorEastAsia" w:eastAsiaTheme="minorEastAsia"/>
          <w:color w:val="auto"/>
        </w:rPr>
        <w:t>106 kPa的环境中进行。本标准所提到的室温，是指25±2 ℃；</w:t>
      </w:r>
    </w:p>
    <w:p>
      <w:pPr>
        <w:pStyle w:val="106"/>
        <w:numPr>
          <w:ilvl w:val="0"/>
          <w:numId w:val="18"/>
        </w:numPr>
        <w:ind w:left="0" w:firstLine="420" w:firstLineChars="200"/>
        <w:outlineLvl w:val="9"/>
        <w:rPr>
          <w:rFonts w:asciiTheme="minorEastAsia" w:hAnsiTheme="minorEastAsia" w:eastAsiaTheme="minorEastAsia"/>
          <w:color w:val="auto"/>
          <w:kern w:val="0"/>
        </w:rPr>
      </w:pPr>
      <w:r>
        <w:rPr>
          <w:rFonts w:hint="eastAsia" w:asciiTheme="minorEastAsia" w:hAnsiTheme="minorEastAsia" w:eastAsiaTheme="minorEastAsia"/>
          <w:color w:val="auto"/>
          <w:kern w:val="0"/>
        </w:rPr>
        <w:t>试验开始前，</w:t>
      </w:r>
      <w:r>
        <w:rPr>
          <w:rFonts w:hint="eastAsia" w:asciiTheme="minorEastAsia" w:hAnsiTheme="minorEastAsia" w:eastAsiaTheme="minorEastAsia"/>
          <w:color w:val="auto"/>
        </w:rPr>
        <w:t>测试对象的</w:t>
      </w:r>
      <w:r>
        <w:rPr>
          <w:rFonts w:asciiTheme="minorEastAsia" w:hAnsiTheme="minorEastAsia" w:eastAsiaTheme="minorEastAsia"/>
          <w:color w:val="auto"/>
        </w:rPr>
        <w:t>SOC</w:t>
      </w:r>
      <w:r>
        <w:rPr>
          <w:rFonts w:hint="eastAsia" w:asciiTheme="minorEastAsia" w:hAnsiTheme="minorEastAsia" w:eastAsiaTheme="minorEastAsia"/>
          <w:color w:val="auto"/>
        </w:rPr>
        <w:t>应调至大于电池厂商规定的正常</w:t>
      </w:r>
      <w:r>
        <w:rPr>
          <w:rFonts w:asciiTheme="minorEastAsia" w:hAnsiTheme="minorEastAsia" w:eastAsiaTheme="minorEastAsia"/>
          <w:color w:val="auto"/>
        </w:rPr>
        <w:t>SOC</w:t>
      </w:r>
      <w:r>
        <w:rPr>
          <w:rFonts w:hint="eastAsia" w:asciiTheme="minorEastAsia" w:hAnsiTheme="minorEastAsia" w:eastAsiaTheme="minorEastAsia"/>
          <w:color w:val="auto"/>
        </w:rPr>
        <w:t>工作范围的</w:t>
      </w:r>
      <w:r>
        <w:rPr>
          <w:rFonts w:asciiTheme="minorEastAsia" w:hAnsiTheme="minorEastAsia" w:eastAsiaTheme="minorEastAsia"/>
          <w:color w:val="auto"/>
        </w:rPr>
        <w:t>[90%</w:t>
      </w:r>
      <w:r>
        <w:rPr>
          <w:rFonts w:hint="eastAsia" w:asciiTheme="minorEastAsia" w:hAnsiTheme="minorEastAsia" w:eastAsiaTheme="minorEastAsia"/>
          <w:color w:val="auto"/>
        </w:rPr>
        <w:t>或者</w:t>
      </w:r>
      <w:r>
        <w:rPr>
          <w:rFonts w:asciiTheme="minorEastAsia" w:hAnsiTheme="minorEastAsia" w:eastAsiaTheme="minorEastAsia"/>
          <w:color w:val="auto"/>
        </w:rPr>
        <w:t>95%]</w:t>
      </w:r>
      <w:r>
        <w:rPr>
          <w:rFonts w:hint="eastAsia" w:asciiTheme="minorEastAsia" w:hAnsiTheme="minorEastAsia" w:eastAsiaTheme="minorEastAsia"/>
          <w:color w:val="auto"/>
        </w:rPr>
        <w:t>；</w:t>
      </w:r>
    </w:p>
    <w:p>
      <w:pPr>
        <w:pStyle w:val="106"/>
        <w:numPr>
          <w:ilvl w:val="0"/>
          <w:numId w:val="18"/>
        </w:numPr>
        <w:ind w:left="0" w:firstLine="420" w:firstLineChars="200"/>
        <w:outlineLvl w:val="9"/>
        <w:rPr>
          <w:rFonts w:asciiTheme="minorEastAsia" w:hAnsiTheme="minorEastAsia" w:eastAsiaTheme="minorEastAsia"/>
          <w:color w:val="auto"/>
          <w:kern w:val="0"/>
        </w:rPr>
      </w:pPr>
      <w:r>
        <w:rPr>
          <w:rFonts w:hint="eastAsia" w:asciiTheme="minorEastAsia" w:hAnsiTheme="minorEastAsia" w:eastAsiaTheme="minorEastAsia"/>
          <w:color w:val="auto"/>
        </w:rPr>
        <w:t>试</w:t>
      </w:r>
      <w:r>
        <w:rPr>
          <w:rFonts w:hint="eastAsia" w:asciiTheme="minorEastAsia" w:hAnsiTheme="minorEastAsia" w:eastAsiaTheme="minorEastAsia"/>
          <w:color w:val="auto"/>
          <w:kern w:val="0"/>
        </w:rPr>
        <w:t>验开始前，所有的试验装置应都必须正常运行。若选择过充作为热失控触发方法，需关闭过充保护功能；</w:t>
      </w:r>
    </w:p>
    <w:p>
      <w:pPr>
        <w:pStyle w:val="106"/>
        <w:numPr>
          <w:ilvl w:val="0"/>
          <w:numId w:val="18"/>
        </w:numPr>
        <w:ind w:left="0" w:firstLine="420" w:firstLineChars="200"/>
        <w:outlineLvl w:val="9"/>
        <w:rPr>
          <w:rFonts w:asciiTheme="minorEastAsia" w:hAnsiTheme="minorEastAsia" w:eastAsiaTheme="minorEastAsia"/>
          <w:color w:val="auto"/>
          <w:kern w:val="0"/>
        </w:rPr>
      </w:pPr>
      <w:r>
        <w:rPr>
          <w:rFonts w:hint="eastAsia" w:asciiTheme="minorEastAsia" w:hAnsiTheme="minorEastAsia" w:eastAsiaTheme="minorEastAsia"/>
          <w:color w:val="auto"/>
          <w:kern w:val="0"/>
        </w:rPr>
        <w:t>试验应尽可能少地对测试样品进行改动，制造商需提交所做改动的清单；</w:t>
      </w:r>
    </w:p>
    <w:p>
      <w:pPr>
        <w:pStyle w:val="106"/>
        <w:numPr>
          <w:ilvl w:val="0"/>
          <w:numId w:val="18"/>
        </w:numPr>
        <w:ind w:left="0" w:firstLine="420" w:firstLineChars="200"/>
        <w:outlineLvl w:val="9"/>
        <w:rPr>
          <w:rFonts w:asciiTheme="minorEastAsia" w:hAnsiTheme="minorEastAsia" w:eastAsiaTheme="minorEastAsia"/>
          <w:color w:val="auto"/>
          <w:kern w:val="0"/>
        </w:rPr>
      </w:pPr>
      <w:r>
        <w:rPr>
          <w:rFonts w:hint="eastAsia" w:asciiTheme="minorEastAsia" w:hAnsiTheme="minorEastAsia" w:eastAsiaTheme="minorEastAsia"/>
          <w:color w:val="auto"/>
          <w:kern w:val="0"/>
        </w:rPr>
        <w:t>试验应在室内环境或者无风条件下进行。</w:t>
      </w:r>
    </w:p>
    <w:p>
      <w:pPr>
        <w:pStyle w:val="104"/>
        <w:spacing w:before="312" w:after="312"/>
        <w:ind w:left="0"/>
        <w:rPr>
          <w:rFonts w:ascii="Times New Roman"/>
          <w:color w:val="auto"/>
        </w:rPr>
      </w:pPr>
      <w:r>
        <w:rPr>
          <w:rFonts w:hint="eastAsia" w:ascii="Times New Roman"/>
          <w:color w:val="auto"/>
        </w:rPr>
        <w:t>试验方法</w:t>
      </w:r>
    </w:p>
    <w:p>
      <w:pPr>
        <w:pStyle w:val="105"/>
        <w:wordWrap/>
        <w:spacing w:beforeLines="0" w:afterLines="0"/>
        <w:ind w:left="0"/>
        <w:jc w:val="left"/>
        <w:outlineLvl w:val="9"/>
        <w:rPr>
          <w:rFonts w:asciiTheme="minorEastAsia" w:hAnsiTheme="minorEastAsia" w:eastAsiaTheme="minorEastAsia"/>
          <w:color w:val="auto"/>
          <w:szCs w:val="21"/>
        </w:rPr>
      </w:pPr>
      <w:r>
        <w:rPr>
          <w:rFonts w:hint="eastAsia" w:asciiTheme="minorEastAsia" w:hAnsiTheme="minorEastAsia" w:eastAsiaTheme="minorEastAsia"/>
          <w:color w:val="auto"/>
          <w:szCs w:val="21"/>
        </w:rPr>
        <w:t>考虑到试验的可行性和可重复性，以下三种不同的方法可作为可充电储能系统热失控扩展试验的候选方法，厂商可从中选择一种方法。加热是其中一种触发方法，另外两个可选方法分别是针刺和过充，两者均只须对蓄电池系统做很小的改动。针刺触发要求提前在蓄电池系统的外壳上钻孔，过充触发要求在触发对象上连接额外的导线以实现过充。</w:t>
      </w:r>
    </w:p>
    <w:p>
      <w:pPr>
        <w:pStyle w:val="105"/>
        <w:wordWrap/>
        <w:spacing w:beforeLines="0" w:afterLines="0"/>
        <w:ind w:left="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热失控触发对象：选择可通过B</w:t>
      </w:r>
      <w:r>
        <w:rPr>
          <w:rFonts w:asciiTheme="minorEastAsia" w:hAnsiTheme="minorEastAsia" w:eastAsiaTheme="minorEastAsia"/>
          <w:color w:val="auto"/>
          <w:szCs w:val="21"/>
        </w:rPr>
        <w:t>.4.1</w:t>
      </w:r>
      <w:r>
        <w:rPr>
          <w:rFonts w:hint="eastAsia" w:asciiTheme="minorEastAsia" w:hAnsiTheme="minorEastAsia" w:eastAsiaTheme="minorEastAsia"/>
          <w:color w:val="auto"/>
          <w:szCs w:val="21"/>
        </w:rPr>
        <w:t>中其中一种方法实现热失控触发的单体蓄电池作为热失控触发对象，热失控触发对象热失控产生的热量应非常容易传递至相邻单体蓄电池。例如，选择蓄电池包内最靠近中心位置的单体蓄电池，或者被其它单体蓄电池包围且很难产生热辐射的单体蓄电池。</w:t>
      </w:r>
    </w:p>
    <w:p>
      <w:pPr>
        <w:pStyle w:val="106"/>
        <w:wordWrap/>
        <w:ind w:left="0"/>
        <w:outlineLvl w:val="9"/>
        <w:rPr>
          <w:rFonts w:asciiTheme="minorEastAsia" w:hAnsiTheme="minorEastAsia" w:eastAsiaTheme="minorEastAsia"/>
          <w:color w:val="auto"/>
        </w:rPr>
      </w:pPr>
      <w:r>
        <w:rPr>
          <w:rFonts w:hint="eastAsia" w:asciiTheme="minorEastAsia" w:hAnsiTheme="minorEastAsia" w:eastAsiaTheme="minorEastAsia"/>
          <w:color w:val="auto"/>
        </w:rPr>
        <w:t>针刺触发热失控：试验应在如下条件下开展：刺针材料：钢；刺针直径：</w:t>
      </w:r>
      <w:r>
        <w:rPr>
          <w:rFonts w:asciiTheme="minorEastAsia" w:hAnsiTheme="minorEastAsia" w:eastAsiaTheme="minorEastAsia"/>
          <w:color w:val="auto"/>
        </w:rPr>
        <w:t>3mm</w:t>
      </w:r>
      <w:r>
        <w:rPr>
          <w:rFonts w:hint="eastAsia" w:asciiTheme="minorEastAsia" w:hAnsiTheme="minorEastAsia" w:eastAsiaTheme="minorEastAsia"/>
          <w:color w:val="auto"/>
        </w:rPr>
        <w:t>及</w:t>
      </w:r>
      <w:r>
        <w:rPr>
          <w:rFonts w:asciiTheme="minorEastAsia" w:hAnsiTheme="minorEastAsia" w:eastAsiaTheme="minorEastAsia"/>
          <w:color w:val="auto"/>
        </w:rPr>
        <w:t>8mm</w:t>
      </w:r>
      <w:r>
        <w:rPr>
          <w:rFonts w:hint="eastAsia" w:asciiTheme="minorEastAsia" w:hAnsiTheme="minorEastAsia" w:eastAsiaTheme="minorEastAsia"/>
          <w:color w:val="auto"/>
        </w:rPr>
        <w:t>；针尖形状：圆锥形，角度为</w:t>
      </w:r>
      <w:r>
        <w:rPr>
          <w:rFonts w:asciiTheme="minorEastAsia" w:hAnsiTheme="minorEastAsia" w:eastAsiaTheme="minorEastAsia"/>
          <w:color w:val="auto"/>
        </w:rPr>
        <w:t>20</w:t>
      </w:r>
      <w:r>
        <w:rPr>
          <w:rFonts w:hint="eastAsia" w:asciiTheme="minorEastAsia" w:hAnsiTheme="minorEastAsia" w:eastAsiaTheme="minorEastAsia"/>
          <w:color w:val="auto"/>
        </w:rPr>
        <w:t>℃</w:t>
      </w:r>
      <w:r>
        <w:rPr>
          <w:rFonts w:hint="eastAsia" w:asciiTheme="minorEastAsia" w:hAnsiTheme="minorEastAsia" w:eastAsiaTheme="minorEastAsia"/>
          <w:color w:val="auto"/>
          <w:kern w:val="2"/>
          <w:szCs w:val="24"/>
        </w:rPr>
        <w:t>～</w:t>
      </w:r>
      <w:r>
        <w:rPr>
          <w:rFonts w:asciiTheme="minorEastAsia" w:hAnsiTheme="minorEastAsia" w:eastAsiaTheme="minorEastAsia"/>
          <w:color w:val="auto"/>
        </w:rPr>
        <w:t>60</w:t>
      </w:r>
      <w:r>
        <w:rPr>
          <w:rFonts w:hint="eastAsia" w:asciiTheme="minorEastAsia" w:hAnsiTheme="minorEastAsia" w:eastAsiaTheme="minorEastAsia"/>
          <w:color w:val="auto"/>
        </w:rPr>
        <w:t>℃；针刺速度：</w:t>
      </w:r>
      <w:r>
        <w:rPr>
          <w:rFonts w:asciiTheme="minorEastAsia" w:hAnsiTheme="minorEastAsia" w:eastAsiaTheme="minorEastAsia"/>
          <w:color w:val="auto"/>
        </w:rPr>
        <w:t>10</w:t>
      </w:r>
      <w:r>
        <w:rPr>
          <w:rFonts w:hint="eastAsia" w:asciiTheme="minorEastAsia" w:hAnsiTheme="minorEastAsia" w:eastAsiaTheme="minorEastAsia"/>
          <w:color w:val="auto"/>
          <w:kern w:val="2"/>
          <w:szCs w:val="24"/>
        </w:rPr>
        <w:t>～</w:t>
      </w:r>
      <w:r>
        <w:rPr>
          <w:rFonts w:asciiTheme="minorEastAsia" w:hAnsiTheme="minorEastAsia" w:eastAsiaTheme="minorEastAsia"/>
          <w:color w:val="auto"/>
        </w:rPr>
        <w:t>100mm/s</w:t>
      </w:r>
      <w:r>
        <w:rPr>
          <w:rFonts w:hint="eastAsia" w:asciiTheme="minorEastAsia" w:hAnsiTheme="minorEastAsia" w:eastAsiaTheme="minorEastAsia"/>
          <w:color w:val="auto"/>
        </w:rPr>
        <w:t>；针刺位置及方向：选择可能触发单体蓄电池发生热失控的位置和方向</w:t>
      </w:r>
      <w:r>
        <w:rPr>
          <w:rFonts w:asciiTheme="minorEastAsia" w:hAnsiTheme="minorEastAsia" w:eastAsiaTheme="minorEastAsia"/>
          <w:color w:val="auto"/>
        </w:rPr>
        <w:t>(</w:t>
      </w:r>
      <w:r>
        <w:rPr>
          <w:rFonts w:hint="eastAsia" w:asciiTheme="minorEastAsia" w:hAnsiTheme="minorEastAsia" w:eastAsiaTheme="minorEastAsia"/>
          <w:color w:val="auto"/>
        </w:rPr>
        <w:t>例如，垂直于极片的方向</w:t>
      </w:r>
      <w:r>
        <w:rPr>
          <w:rFonts w:asciiTheme="minorEastAsia" w:hAnsiTheme="minorEastAsia" w:eastAsiaTheme="minorEastAsia"/>
          <w:color w:val="auto"/>
        </w:rPr>
        <w:t>)</w:t>
      </w:r>
      <w:r>
        <w:rPr>
          <w:rFonts w:hint="eastAsia" w:asciiTheme="minorEastAsia" w:hAnsiTheme="minorEastAsia" w:eastAsiaTheme="minorEastAsia"/>
          <w:color w:val="auto"/>
        </w:rPr>
        <w:t>。如果能够发生热失控，也可以直接从蓄电池的防爆阀刺入，被针刺穿孔的单体蓄电池称为触发对象。如果未发生热失控，观察</w:t>
      </w:r>
      <w:r>
        <w:rPr>
          <w:rFonts w:asciiTheme="minorEastAsia" w:hAnsiTheme="minorEastAsia" w:eastAsiaTheme="minorEastAsia"/>
          <w:color w:val="auto"/>
        </w:rPr>
        <w:t>1h</w:t>
      </w:r>
      <w:r>
        <w:rPr>
          <w:rFonts w:hint="eastAsia" w:asciiTheme="minorEastAsia" w:hAnsiTheme="minorEastAsia" w:eastAsiaTheme="minorEastAsia"/>
          <w:color w:val="auto"/>
        </w:rPr>
        <w:t>后参照</w:t>
      </w:r>
      <w:r>
        <w:rPr>
          <w:rFonts w:asciiTheme="minorEastAsia" w:hAnsiTheme="minorEastAsia" w:eastAsiaTheme="minorEastAsia"/>
          <w:color w:val="auto"/>
        </w:rPr>
        <w:t>4.4.2</w:t>
      </w:r>
      <w:r>
        <w:rPr>
          <w:rFonts w:hint="eastAsia" w:asciiTheme="minorEastAsia" w:hAnsiTheme="minorEastAsia" w:eastAsiaTheme="minorEastAsia"/>
          <w:color w:val="auto"/>
        </w:rPr>
        <w:t xml:space="preserve"> a</w:t>
      </w:r>
      <w:r>
        <w:rPr>
          <w:rFonts w:asciiTheme="minorEastAsia" w:hAnsiTheme="minorEastAsia" w:eastAsiaTheme="minorEastAsia"/>
          <w:color w:val="auto"/>
        </w:rPr>
        <w:t>)</w:t>
      </w:r>
      <w:r>
        <w:rPr>
          <w:rFonts w:hint="eastAsia" w:asciiTheme="minorEastAsia" w:hAnsiTheme="minorEastAsia" w:eastAsiaTheme="minorEastAsia"/>
          <w:color w:val="auto"/>
        </w:rPr>
        <w:t>作判断。</w:t>
      </w:r>
    </w:p>
    <w:p>
      <w:pPr>
        <w:pStyle w:val="106"/>
        <w:wordWrap/>
        <w:ind w:left="0"/>
        <w:outlineLvl w:val="9"/>
        <w:rPr>
          <w:rFonts w:asciiTheme="minorEastAsia" w:hAnsiTheme="minorEastAsia" w:eastAsiaTheme="minorEastAsia"/>
          <w:bCs/>
          <w:color w:val="auto"/>
        </w:rPr>
      </w:pPr>
      <w:r>
        <w:rPr>
          <w:rFonts w:hint="eastAsia" w:asciiTheme="minorEastAsia" w:hAnsiTheme="minorEastAsia" w:eastAsiaTheme="minorEastAsia"/>
          <w:color w:val="auto"/>
        </w:rPr>
        <w:t>过充触发热失控</w:t>
      </w:r>
      <w:r>
        <w:rPr>
          <w:rFonts w:hint="eastAsia" w:asciiTheme="minorEastAsia" w:hAnsiTheme="minorEastAsia" w:eastAsiaTheme="minorEastAsia"/>
          <w:bCs/>
          <w:color w:val="auto"/>
        </w:rPr>
        <w:t>：</w:t>
      </w:r>
      <w:r>
        <w:rPr>
          <w:rFonts w:hint="eastAsia" w:asciiTheme="minorEastAsia" w:hAnsiTheme="minorEastAsia" w:eastAsiaTheme="minorEastAsia"/>
          <w:color w:val="auto"/>
        </w:rPr>
        <w:t>以最小</w:t>
      </w:r>
      <w:r>
        <w:rPr>
          <w:rFonts w:asciiTheme="minorEastAsia" w:hAnsiTheme="minorEastAsia" w:eastAsiaTheme="minorEastAsia"/>
          <w:color w:val="auto"/>
        </w:rPr>
        <w:t>1/3C</w:t>
      </w:r>
      <w:r>
        <w:rPr>
          <w:rFonts w:hint="eastAsia" w:asciiTheme="minorEastAsia" w:hAnsiTheme="minorEastAsia" w:eastAsiaTheme="minorEastAsia"/>
          <w:color w:val="auto"/>
        </w:rPr>
        <w:t>、最大不超过电池厂商规定正常工作范围的最大电流对触发对象进行恒流充电，直至其发生热失控或者触发对象达到</w:t>
      </w:r>
      <w:r>
        <w:rPr>
          <w:rFonts w:asciiTheme="minorEastAsia" w:hAnsiTheme="minorEastAsia" w:eastAsiaTheme="minorEastAsia"/>
          <w:color w:val="auto"/>
        </w:rPr>
        <w:t>200%SOC</w:t>
      </w:r>
      <w:r>
        <w:rPr>
          <w:rFonts w:hint="eastAsia" w:asciiTheme="minorEastAsia" w:hAnsiTheme="minorEastAsia" w:eastAsiaTheme="minorEastAsia"/>
          <w:color w:val="auto"/>
        </w:rPr>
        <w:t>，蓄电池系统中的其它单体蓄电池不能被过充。如果未发生热失控，观察</w:t>
      </w:r>
      <w:r>
        <w:rPr>
          <w:rFonts w:asciiTheme="minorEastAsia" w:hAnsiTheme="minorEastAsia" w:eastAsiaTheme="minorEastAsia"/>
          <w:color w:val="auto"/>
        </w:rPr>
        <w:t>1h</w:t>
      </w:r>
      <w:r>
        <w:rPr>
          <w:rFonts w:hint="eastAsia" w:asciiTheme="minorEastAsia" w:hAnsiTheme="minorEastAsia" w:eastAsiaTheme="minorEastAsia"/>
          <w:color w:val="auto"/>
        </w:rPr>
        <w:t>后则参照</w:t>
      </w:r>
      <w:r>
        <w:rPr>
          <w:rFonts w:asciiTheme="minorEastAsia" w:hAnsiTheme="minorEastAsia" w:eastAsiaTheme="minorEastAsia"/>
          <w:color w:val="auto"/>
        </w:rPr>
        <w:t>4.4.2</w:t>
      </w:r>
      <w:r>
        <w:rPr>
          <w:rFonts w:hint="eastAsia" w:asciiTheme="minorEastAsia" w:hAnsiTheme="minorEastAsia" w:eastAsiaTheme="minorEastAsia"/>
          <w:color w:val="auto"/>
        </w:rPr>
        <w:t xml:space="preserve"> a</w:t>
      </w:r>
      <w:r>
        <w:rPr>
          <w:rFonts w:asciiTheme="minorEastAsia" w:hAnsiTheme="minorEastAsia" w:eastAsiaTheme="minorEastAsia"/>
          <w:color w:val="auto"/>
        </w:rPr>
        <w:t>)</w:t>
      </w:r>
      <w:r>
        <w:rPr>
          <w:rFonts w:hint="eastAsia" w:asciiTheme="minorEastAsia" w:hAnsiTheme="minorEastAsia" w:eastAsiaTheme="minorEastAsia"/>
          <w:color w:val="auto"/>
        </w:rPr>
        <w:t>作判断。</w:t>
      </w:r>
    </w:p>
    <w:p>
      <w:pPr>
        <w:pStyle w:val="106"/>
        <w:wordWrap/>
        <w:ind w:left="0"/>
        <w:rPr>
          <w:rFonts w:ascii="Times New Roman"/>
          <w:b/>
          <w:bCs/>
          <w:color w:val="auto"/>
        </w:rPr>
      </w:pPr>
      <w:r>
        <w:rPr>
          <w:rFonts w:hint="eastAsia" w:ascii="Times New Roman"/>
          <w:color w:val="auto"/>
        </w:rPr>
        <w:t>加热触发热失控：使用平面状或者棒状加热装置，并且其表面应覆盖陶瓷，金属或绝缘层。对于尺寸与单体蓄电池相同的块状加热装置，可用该加热装置代替其中一个单体蓄电池；对于尺寸比单体蓄电池小的块状加热装置，则可将其安装在模块中，并与触发对象的表面直接接触；对于薄膜加热装置，则应将其始终附着在触发对象的表面；在任何可能的情况下，加热装置的加热面积都不应大于单体蓄电池的表面积；将加热装置的加热面与蓄电池表面直接接触，加热装置的位置应与B</w:t>
      </w:r>
      <w:r>
        <w:rPr>
          <w:rFonts w:ascii="Times New Roman"/>
          <w:color w:val="auto"/>
        </w:rPr>
        <w:t>.4.7</w:t>
      </w:r>
      <w:r>
        <w:rPr>
          <w:rFonts w:hint="eastAsia" w:ascii="Times New Roman"/>
          <w:color w:val="auto"/>
        </w:rPr>
        <w:t>中规定的温度传感器的位置相对应；安装完成后，立即启动加热装置，以加热装置的最大功率对触发对象进行加热；加热装置的功率要求见表B</w:t>
      </w:r>
      <w:r>
        <w:rPr>
          <w:rFonts w:ascii="Times New Roman"/>
          <w:color w:val="auto"/>
        </w:rPr>
        <w:t>.1</w:t>
      </w:r>
      <w:r>
        <w:rPr>
          <w:rFonts w:hint="eastAsia" w:ascii="Times New Roman"/>
          <w:color w:val="auto"/>
        </w:rPr>
        <w:t>，但不做强制性要求；当发生热失控或者B</w:t>
      </w:r>
      <w:r>
        <w:rPr>
          <w:rFonts w:ascii="Times New Roman"/>
          <w:color w:val="auto"/>
        </w:rPr>
        <w:t>.4.7</w:t>
      </w:r>
      <w:r>
        <w:rPr>
          <w:rFonts w:hint="eastAsia" w:ascii="Times New Roman"/>
          <w:color w:val="auto"/>
        </w:rPr>
        <w:t>定义的监测点温度达到</w:t>
      </w:r>
      <w:r>
        <w:rPr>
          <w:rFonts w:ascii="Times New Roman"/>
          <w:color w:val="auto"/>
        </w:rPr>
        <w:t>300</w:t>
      </w:r>
      <w:r>
        <w:rPr>
          <w:rFonts w:hint="eastAsia" w:ascii="Times New Roman"/>
          <w:color w:val="auto"/>
        </w:rPr>
        <w:t>℃时，停止触发。如果未发生热失控，观察</w:t>
      </w:r>
      <w:r>
        <w:rPr>
          <w:rFonts w:ascii="Times New Roman"/>
          <w:color w:val="auto"/>
        </w:rPr>
        <w:t>1h</w:t>
      </w:r>
      <w:r>
        <w:rPr>
          <w:rFonts w:hint="eastAsia" w:ascii="Times New Roman"/>
          <w:color w:val="auto"/>
        </w:rPr>
        <w:t>后参照</w:t>
      </w:r>
      <w:r>
        <w:rPr>
          <w:rFonts w:ascii="Times New Roman"/>
          <w:color w:val="auto"/>
        </w:rPr>
        <w:t>4.4.2</w:t>
      </w:r>
      <w:r>
        <w:rPr>
          <w:rFonts w:hint="eastAsia" w:ascii="Times New Roman"/>
          <w:color w:val="auto"/>
        </w:rPr>
        <w:t xml:space="preserve"> a</w:t>
      </w:r>
      <w:r>
        <w:rPr>
          <w:rFonts w:ascii="Times New Roman"/>
          <w:color w:val="auto"/>
        </w:rPr>
        <w:t>)</w:t>
      </w:r>
      <w:r>
        <w:rPr>
          <w:rFonts w:hint="eastAsia" w:ascii="Times New Roman"/>
          <w:color w:val="auto"/>
        </w:rPr>
        <w:t>作判断。</w:t>
      </w:r>
    </w:p>
    <w:p>
      <w:pPr>
        <w:pStyle w:val="105"/>
        <w:numPr>
          <w:ilvl w:val="0"/>
          <w:numId w:val="0"/>
        </w:numPr>
        <w:tabs>
          <w:tab w:val="clear" w:pos="0"/>
          <w:tab w:val="clear" w:pos="839"/>
        </w:tabs>
        <w:spacing w:before="156" w:after="156"/>
        <w:jc w:val="center"/>
        <w:rPr>
          <w:rFonts w:hAnsi="宋体"/>
          <w:color w:val="auto"/>
        </w:rPr>
      </w:pPr>
      <w:r>
        <w:rPr>
          <w:rFonts w:hint="eastAsia"/>
          <w:color w:val="auto"/>
        </w:rPr>
        <w:t>表B</w:t>
      </w:r>
      <w:r>
        <w:rPr>
          <w:color w:val="auto"/>
        </w:rPr>
        <w:t>.1</w:t>
      </w:r>
      <w:r>
        <w:rPr>
          <w:rFonts w:hint="eastAsia"/>
          <w:color w:val="auto"/>
        </w:rPr>
        <w:t>：加热装置功率选择</w:t>
      </w:r>
    </w:p>
    <w:tbl>
      <w:tblPr>
        <w:tblStyle w:val="43"/>
        <w:tblW w:w="7654" w:type="dxa"/>
        <w:jc w:val="center"/>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4819" w:type="dxa"/>
            <w:vAlign w:val="center"/>
          </w:tcPr>
          <w:p>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测试对象能量</w:t>
            </w:r>
            <w:r>
              <w:rPr>
                <w:rFonts w:asciiTheme="minorEastAsia" w:hAnsiTheme="minorEastAsia" w:eastAsiaTheme="minorEastAsia"/>
                <w:color w:val="auto"/>
                <w:sz w:val="18"/>
                <w:szCs w:val="18"/>
              </w:rPr>
              <w:t>E</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Wh</w:t>
            </w:r>
            <w:r>
              <w:rPr>
                <w:rFonts w:hint="eastAsia" w:asciiTheme="minorEastAsia" w:hAnsiTheme="minorEastAsia" w:eastAsiaTheme="minorEastAsia"/>
                <w:color w:val="auto"/>
                <w:sz w:val="18"/>
                <w:szCs w:val="18"/>
              </w:rPr>
              <w:t>）</w:t>
            </w:r>
          </w:p>
        </w:tc>
        <w:tc>
          <w:tcPr>
            <w:tcW w:w="2835" w:type="dxa"/>
            <w:vAlign w:val="center"/>
          </w:tcPr>
          <w:p>
            <w:pPr>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加热</w:t>
            </w:r>
            <w:r>
              <w:rPr>
                <w:rFonts w:hint="eastAsia" w:asciiTheme="minorEastAsia" w:hAnsiTheme="minorEastAsia" w:eastAsiaTheme="minorEastAsia"/>
                <w:color w:val="auto"/>
                <w:sz w:val="18"/>
                <w:szCs w:val="18"/>
              </w:rPr>
              <w:t>装置最大</w:t>
            </w:r>
            <w:r>
              <w:rPr>
                <w:rFonts w:asciiTheme="minorEastAsia" w:hAnsiTheme="minorEastAsia" w:eastAsiaTheme="minorEastAsia"/>
                <w:color w:val="auto"/>
                <w:sz w:val="18"/>
                <w:szCs w:val="18"/>
              </w:rPr>
              <w:t>功率（W）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4819"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i/>
                <w:iCs/>
                <w:color w:val="auto"/>
                <w:sz w:val="18"/>
                <w:szCs w:val="18"/>
              </w:rPr>
              <w:t>E</w:t>
            </w:r>
            <w:r>
              <w:rPr>
                <w:rFonts w:asciiTheme="minorEastAsia" w:hAnsiTheme="minorEastAsia" w:eastAsiaTheme="minorEastAsia"/>
                <w:color w:val="auto"/>
                <w:sz w:val="18"/>
                <w:szCs w:val="18"/>
              </w:rPr>
              <w:t>&lt;100</w:t>
            </w:r>
          </w:p>
        </w:tc>
        <w:tc>
          <w:tcPr>
            <w:tcW w:w="2835"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30</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jc w:val="center"/>
        </w:trPr>
        <w:tc>
          <w:tcPr>
            <w:tcW w:w="4819"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w:t>
            </w:r>
            <w:r>
              <w:rPr>
                <w:rFonts w:asciiTheme="minorEastAsia" w:hAnsiTheme="minorEastAsia" w:eastAsiaTheme="minorEastAsia"/>
                <w:i/>
                <w:iCs/>
                <w:color w:val="auto"/>
                <w:sz w:val="18"/>
                <w:szCs w:val="18"/>
              </w:rPr>
              <w:t>E</w:t>
            </w:r>
            <w:r>
              <w:rPr>
                <w:rFonts w:asciiTheme="minorEastAsia" w:hAnsiTheme="minorEastAsia" w:eastAsiaTheme="minorEastAsia"/>
                <w:color w:val="auto"/>
                <w:sz w:val="18"/>
                <w:szCs w:val="18"/>
              </w:rPr>
              <w:t>&lt;400</w:t>
            </w:r>
          </w:p>
        </w:tc>
        <w:tc>
          <w:tcPr>
            <w:tcW w:w="2835"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300</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4819"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400</w:t>
            </w:r>
            <w:r>
              <w:rPr>
                <w:rFonts w:hint="eastAsia" w:asciiTheme="minorEastAsia" w:hAnsiTheme="minorEastAsia" w:eastAsiaTheme="minorEastAsia"/>
                <w:color w:val="auto"/>
                <w:sz w:val="18"/>
                <w:szCs w:val="18"/>
              </w:rPr>
              <w:t>≤</w:t>
            </w:r>
            <w:r>
              <w:rPr>
                <w:rFonts w:asciiTheme="minorEastAsia" w:hAnsiTheme="minorEastAsia" w:eastAsiaTheme="minorEastAsia"/>
                <w:i/>
                <w:iCs/>
                <w:color w:val="auto"/>
                <w:sz w:val="18"/>
                <w:szCs w:val="18"/>
              </w:rPr>
              <w:t>E</w:t>
            </w:r>
            <w:r>
              <w:rPr>
                <w:rFonts w:asciiTheme="minorEastAsia" w:hAnsiTheme="minorEastAsia" w:eastAsiaTheme="minorEastAsia"/>
                <w:color w:val="auto"/>
                <w:sz w:val="18"/>
                <w:szCs w:val="18"/>
              </w:rPr>
              <w:t>&lt;800</w:t>
            </w:r>
          </w:p>
        </w:tc>
        <w:tc>
          <w:tcPr>
            <w:tcW w:w="2835"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300</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4819"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i/>
                <w:iCs/>
                <w:color w:val="auto"/>
                <w:sz w:val="18"/>
                <w:szCs w:val="18"/>
              </w:rPr>
              <w:t>E</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800</w:t>
            </w:r>
          </w:p>
        </w:tc>
        <w:tc>
          <w:tcPr>
            <w:tcW w:w="2835" w:type="dxa"/>
          </w:tcPr>
          <w:p>
            <w:pPr>
              <w:spacing w:after="120"/>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&gt;600</w:t>
            </w:r>
          </w:p>
        </w:tc>
      </w:tr>
    </w:tbl>
    <w:p>
      <w:pPr>
        <w:pStyle w:val="106"/>
        <w:wordWrap/>
        <w:ind w:left="0"/>
        <w:rPr>
          <w:rFonts w:hAnsi="宋体"/>
          <w:color w:val="auto"/>
        </w:rPr>
      </w:pPr>
      <w:r>
        <w:rPr>
          <w:rFonts w:hint="eastAsia" w:ascii="Times New Roman"/>
          <w:color w:val="auto"/>
        </w:rPr>
        <w:t>以下是判定是否发生热失控的条件：</w:t>
      </w:r>
    </w:p>
    <w:p>
      <w:pPr>
        <w:pStyle w:val="104"/>
        <w:numPr>
          <w:ilvl w:val="0"/>
          <w:numId w:val="0"/>
        </w:numPr>
        <w:tabs>
          <w:tab w:val="clear" w:pos="0"/>
          <w:tab w:val="clear" w:pos="839"/>
        </w:tabs>
        <w:spacing w:beforeLines="0" w:afterLines="0"/>
        <w:ind w:left="142"/>
        <w:outlineLvl w:val="9"/>
        <w:rPr>
          <w:rFonts w:ascii="Times New Roman" w:eastAsia="宋体"/>
          <w:color w:val="auto"/>
          <w:szCs w:val="21"/>
        </w:rPr>
      </w:pPr>
      <w:r>
        <w:rPr>
          <w:rFonts w:hint="eastAsia" w:ascii="Times New Roman" w:eastAsia="宋体"/>
          <w:color w:val="auto"/>
          <w:szCs w:val="21"/>
        </w:rPr>
        <w:t>a</w:t>
      </w:r>
      <w:r>
        <w:rPr>
          <w:rFonts w:ascii="Times New Roman" w:eastAsia="宋体"/>
          <w:color w:val="auto"/>
          <w:szCs w:val="21"/>
        </w:rPr>
        <w:t>)</w:t>
      </w:r>
      <w:r>
        <w:rPr>
          <w:rFonts w:hint="eastAsia" w:ascii="Times New Roman" w:eastAsia="宋体"/>
          <w:color w:val="auto"/>
          <w:szCs w:val="21"/>
        </w:rPr>
        <w:t>测试对象产生电压降；</w:t>
      </w:r>
    </w:p>
    <w:p>
      <w:pPr>
        <w:pStyle w:val="104"/>
        <w:numPr>
          <w:ilvl w:val="0"/>
          <w:numId w:val="0"/>
        </w:numPr>
        <w:tabs>
          <w:tab w:val="clear" w:pos="0"/>
          <w:tab w:val="clear" w:pos="839"/>
        </w:tabs>
        <w:spacing w:beforeLines="0" w:afterLines="0"/>
        <w:ind w:left="142"/>
        <w:outlineLvl w:val="9"/>
        <w:rPr>
          <w:rFonts w:ascii="Times New Roman" w:eastAsia="宋体"/>
          <w:color w:val="auto"/>
          <w:szCs w:val="21"/>
        </w:rPr>
      </w:pPr>
      <w:r>
        <w:rPr>
          <w:rFonts w:hint="eastAsia" w:ascii="Times New Roman" w:eastAsia="宋体"/>
          <w:color w:val="auto"/>
          <w:szCs w:val="21"/>
        </w:rPr>
        <w:t>b</w:t>
      </w:r>
      <w:r>
        <w:rPr>
          <w:rFonts w:ascii="Times New Roman" w:eastAsia="宋体"/>
          <w:color w:val="auto"/>
          <w:szCs w:val="21"/>
        </w:rPr>
        <w:t>)</w:t>
      </w:r>
      <w:r>
        <w:rPr>
          <w:rFonts w:hint="eastAsia" w:ascii="Times New Roman" w:eastAsia="宋体"/>
          <w:color w:val="auto"/>
          <w:szCs w:val="21"/>
        </w:rPr>
        <w:t>监测点温度达到电池厂商规定的最高工作温度；</w:t>
      </w:r>
    </w:p>
    <w:p>
      <w:pPr>
        <w:pStyle w:val="104"/>
        <w:numPr>
          <w:ilvl w:val="0"/>
          <w:numId w:val="0"/>
        </w:numPr>
        <w:tabs>
          <w:tab w:val="clear" w:pos="0"/>
          <w:tab w:val="clear" w:pos="839"/>
        </w:tabs>
        <w:spacing w:beforeLines="0" w:afterLines="0"/>
        <w:ind w:left="142"/>
        <w:outlineLvl w:val="9"/>
        <w:rPr>
          <w:rFonts w:ascii="Times New Roman" w:eastAsia="宋体"/>
          <w:color w:val="auto"/>
          <w:szCs w:val="21"/>
        </w:rPr>
      </w:pPr>
      <w:r>
        <w:rPr>
          <w:rFonts w:hint="eastAsia" w:ascii="Times New Roman" w:eastAsia="宋体"/>
          <w:color w:val="auto"/>
          <w:szCs w:val="21"/>
        </w:rPr>
        <w:t>c</w:t>
      </w:r>
      <w:r>
        <w:rPr>
          <w:rFonts w:ascii="Times New Roman" w:eastAsia="宋体"/>
          <w:color w:val="auto"/>
          <w:szCs w:val="21"/>
        </w:rPr>
        <w:t>)</w:t>
      </w:r>
      <w:r>
        <w:rPr>
          <w:rFonts w:hint="eastAsia" w:ascii="Times New Roman" w:eastAsia="宋体"/>
          <w:color w:val="auto"/>
          <w:szCs w:val="21"/>
        </w:rPr>
        <w:t>监测点的温升速率</w:t>
      </w:r>
      <w:r>
        <w:rPr>
          <w:rFonts w:ascii="Times New Roman" w:eastAsia="宋体"/>
          <w:color w:val="auto"/>
          <w:szCs w:val="21"/>
        </w:rPr>
        <w:t>dT/dt</w:t>
      </w:r>
      <w:r>
        <w:rPr>
          <w:rFonts w:hint="eastAsia" w:ascii="Times New Roman" w:eastAsia="宋体"/>
          <w:color w:val="auto"/>
          <w:szCs w:val="21"/>
        </w:rPr>
        <w:t>≥</w:t>
      </w:r>
      <w:r>
        <w:rPr>
          <w:rFonts w:ascii="Times New Roman" w:eastAsia="宋体"/>
          <w:color w:val="auto"/>
          <w:szCs w:val="21"/>
        </w:rPr>
        <w:t>1</w:t>
      </w:r>
      <w:r>
        <w:rPr>
          <w:rFonts w:hint="eastAsia" w:ascii="Times New Roman" w:eastAsia="宋体"/>
          <w:color w:val="auto"/>
          <w:szCs w:val="21"/>
        </w:rPr>
        <w:t>℃</w:t>
      </w:r>
      <w:r>
        <w:rPr>
          <w:rFonts w:ascii="Times New Roman" w:eastAsia="宋体"/>
          <w:color w:val="auto"/>
          <w:szCs w:val="21"/>
        </w:rPr>
        <w:t>/s</w:t>
      </w:r>
    </w:p>
    <w:p>
      <w:pPr>
        <w:pStyle w:val="104"/>
        <w:numPr>
          <w:ilvl w:val="0"/>
          <w:numId w:val="0"/>
        </w:numPr>
        <w:tabs>
          <w:tab w:val="clear" w:pos="0"/>
          <w:tab w:val="clear" w:pos="839"/>
        </w:tabs>
        <w:spacing w:beforeLines="0" w:afterLines="0"/>
        <w:ind w:left="142"/>
        <w:outlineLvl w:val="9"/>
        <w:rPr>
          <w:rFonts w:ascii="Times New Roman" w:eastAsia="宋体"/>
          <w:color w:val="auto"/>
          <w:szCs w:val="21"/>
        </w:rPr>
      </w:pPr>
      <w:r>
        <w:rPr>
          <w:rFonts w:hint="eastAsia" w:ascii="Times New Roman" w:eastAsia="宋体"/>
          <w:color w:val="auto"/>
          <w:szCs w:val="21"/>
        </w:rPr>
        <w:t>当a</w:t>
      </w:r>
      <w:r>
        <w:rPr>
          <w:rFonts w:ascii="Times New Roman" w:eastAsia="宋体"/>
          <w:color w:val="auto"/>
          <w:szCs w:val="21"/>
        </w:rPr>
        <w:t>)&amp;</w:t>
      </w:r>
      <w:r>
        <w:rPr>
          <w:rFonts w:hint="eastAsia" w:ascii="Times New Roman" w:eastAsia="宋体"/>
          <w:color w:val="auto"/>
          <w:szCs w:val="21"/>
        </w:rPr>
        <w:t>c</w:t>
      </w:r>
      <w:r>
        <w:rPr>
          <w:rFonts w:ascii="Times New Roman" w:eastAsia="宋体"/>
          <w:color w:val="auto"/>
          <w:szCs w:val="21"/>
        </w:rPr>
        <w:t>)</w:t>
      </w:r>
      <w:r>
        <w:rPr>
          <w:rFonts w:hint="eastAsia" w:ascii="Times New Roman" w:eastAsia="宋体"/>
          <w:color w:val="auto"/>
          <w:szCs w:val="21"/>
        </w:rPr>
        <w:t>或者b</w:t>
      </w:r>
      <w:r>
        <w:rPr>
          <w:rFonts w:ascii="Times New Roman" w:eastAsia="宋体"/>
          <w:color w:val="auto"/>
          <w:szCs w:val="21"/>
        </w:rPr>
        <w:t>)&amp;</w:t>
      </w:r>
      <w:r>
        <w:rPr>
          <w:rFonts w:hint="eastAsia" w:ascii="Times New Roman" w:eastAsia="宋体"/>
          <w:color w:val="auto"/>
          <w:szCs w:val="21"/>
        </w:rPr>
        <w:t>c</w:t>
      </w:r>
      <w:r>
        <w:rPr>
          <w:rFonts w:ascii="Times New Roman" w:eastAsia="宋体"/>
          <w:color w:val="auto"/>
          <w:szCs w:val="21"/>
        </w:rPr>
        <w:t>)</w:t>
      </w:r>
      <w:r>
        <w:rPr>
          <w:rFonts w:hint="eastAsia" w:ascii="Times New Roman" w:eastAsia="宋体"/>
          <w:color w:val="auto"/>
          <w:szCs w:val="21"/>
        </w:rPr>
        <w:t>发生时，判定发生热失控。</w:t>
      </w:r>
    </w:p>
    <w:p>
      <w:pPr>
        <w:pStyle w:val="104"/>
        <w:numPr>
          <w:ilvl w:val="0"/>
          <w:numId w:val="0"/>
        </w:numPr>
        <w:tabs>
          <w:tab w:val="clear" w:pos="0"/>
          <w:tab w:val="clear" w:pos="839"/>
        </w:tabs>
        <w:spacing w:beforeLines="0" w:afterLines="0"/>
        <w:ind w:left="142"/>
        <w:outlineLvl w:val="9"/>
        <w:rPr>
          <w:rFonts w:ascii="Times New Roman" w:eastAsia="宋体"/>
          <w:color w:val="auto"/>
          <w:szCs w:val="21"/>
        </w:rPr>
      </w:pPr>
      <w:r>
        <w:rPr>
          <w:rFonts w:hint="eastAsia" w:ascii="Times New Roman" w:eastAsia="宋体"/>
          <w:color w:val="auto"/>
          <w:szCs w:val="21"/>
        </w:rPr>
        <w:t>如果测试已经停止，且过程中未发生热失控，测试中止，参照</w:t>
      </w:r>
      <w:r>
        <w:rPr>
          <w:rFonts w:ascii="Times New Roman"/>
          <w:color w:val="auto"/>
        </w:rPr>
        <w:t>4.4.2</w:t>
      </w:r>
      <w:r>
        <w:rPr>
          <w:rFonts w:hint="eastAsia" w:ascii="Times New Roman"/>
          <w:color w:val="auto"/>
        </w:rPr>
        <w:t xml:space="preserve"> a</w:t>
      </w:r>
      <w:r>
        <w:rPr>
          <w:rFonts w:ascii="Times New Roman"/>
          <w:color w:val="auto"/>
        </w:rPr>
        <w:t>)</w:t>
      </w:r>
      <w:r>
        <w:rPr>
          <w:rFonts w:hint="eastAsia" w:ascii="Times New Roman" w:eastAsia="宋体"/>
          <w:color w:val="auto"/>
          <w:szCs w:val="21"/>
        </w:rPr>
        <w:t>作判断。</w:t>
      </w:r>
    </w:p>
    <w:p>
      <w:pPr>
        <w:pStyle w:val="106"/>
        <w:wordWrap/>
        <w:ind w:left="0"/>
        <w:rPr>
          <w:rFonts w:hAnsi="宋体"/>
          <w:color w:val="auto"/>
        </w:rPr>
      </w:pPr>
      <w:r>
        <w:rPr>
          <w:rFonts w:hint="eastAsia" w:ascii="Times New Roman"/>
          <w:color w:val="auto"/>
        </w:rPr>
        <w:t>电压及温度的监测</w:t>
      </w:r>
    </w:p>
    <w:p>
      <w:pPr>
        <w:ind w:firstLine="420" w:firstLineChars="200"/>
        <w:rPr>
          <w:color w:val="auto"/>
          <w:kern w:val="21"/>
          <w:szCs w:val="21"/>
        </w:rPr>
      </w:pPr>
      <w:r>
        <w:rPr>
          <w:rFonts w:hint="eastAsia"/>
          <w:color w:val="auto"/>
          <w:kern w:val="21"/>
          <w:szCs w:val="21"/>
        </w:rPr>
        <w:t>监测触发对象的电压和温度以判定是否发生热失控，监测电压时，应不改动原始的电路。监测温度定义为温度</w:t>
      </w:r>
      <w:r>
        <w:rPr>
          <w:color w:val="auto"/>
          <w:kern w:val="21"/>
          <w:szCs w:val="21"/>
        </w:rPr>
        <w:t>A(</w:t>
      </w:r>
      <w:r>
        <w:rPr>
          <w:rFonts w:hint="eastAsia"/>
          <w:color w:val="auto"/>
          <w:kern w:val="21"/>
          <w:szCs w:val="21"/>
        </w:rPr>
        <w:t>测试过程中触发对象的最高表面温度</w:t>
      </w:r>
      <w:r>
        <w:rPr>
          <w:color w:val="auto"/>
          <w:kern w:val="21"/>
          <w:szCs w:val="21"/>
        </w:rPr>
        <w:t>)</w:t>
      </w:r>
      <w:r>
        <w:rPr>
          <w:rFonts w:hint="eastAsia"/>
          <w:color w:val="auto"/>
          <w:kern w:val="21"/>
          <w:szCs w:val="21"/>
        </w:rPr>
        <w:t>。温度数据的采样间隔应小于</w:t>
      </w:r>
      <w:r>
        <w:rPr>
          <w:color w:val="auto"/>
          <w:kern w:val="21"/>
          <w:szCs w:val="21"/>
        </w:rPr>
        <w:t>1s</w:t>
      </w:r>
      <w:r>
        <w:rPr>
          <w:rFonts w:hint="eastAsia"/>
          <w:color w:val="auto"/>
          <w:kern w:val="21"/>
          <w:szCs w:val="21"/>
        </w:rPr>
        <w:t>，准确度要求为±</w:t>
      </w:r>
      <w:r>
        <w:rPr>
          <w:color w:val="auto"/>
          <w:kern w:val="21"/>
          <w:szCs w:val="21"/>
        </w:rPr>
        <w:t>2</w:t>
      </w:r>
      <w:r>
        <w:rPr>
          <w:rFonts w:hint="eastAsia"/>
          <w:color w:val="auto"/>
          <w:kern w:val="21"/>
          <w:szCs w:val="21"/>
        </w:rPr>
        <w:t>℃，温度传感器尖端的直径应小于</w:t>
      </w:r>
      <w:r>
        <w:rPr>
          <w:color w:val="auto"/>
          <w:kern w:val="21"/>
          <w:szCs w:val="21"/>
        </w:rPr>
        <w:t>1mm</w:t>
      </w:r>
      <w:r>
        <w:rPr>
          <w:rFonts w:hint="eastAsia"/>
          <w:color w:val="auto"/>
          <w:kern w:val="21"/>
          <w:szCs w:val="21"/>
        </w:rPr>
        <w:t>。</w:t>
      </w:r>
    </w:p>
    <w:p>
      <w:pPr>
        <w:ind w:firstLine="420" w:firstLineChars="200"/>
        <w:rPr>
          <w:color w:val="auto"/>
          <w:kern w:val="21"/>
          <w:szCs w:val="21"/>
        </w:rPr>
      </w:pPr>
      <w:r>
        <w:rPr>
          <w:rFonts w:hint="eastAsia"/>
          <w:color w:val="auto"/>
          <w:kern w:val="21"/>
          <w:szCs w:val="21"/>
        </w:rPr>
        <w:t>针刺触发时，温度传感器的位置应尽可能接近短路点。</w:t>
      </w:r>
    </w:p>
    <w:p>
      <w:pPr>
        <w:ind w:firstLine="420" w:firstLineChars="200"/>
        <w:rPr>
          <w:color w:val="auto"/>
          <w:kern w:val="21"/>
          <w:szCs w:val="21"/>
        </w:rPr>
      </w:pPr>
      <w:r>
        <w:rPr>
          <w:color w:val="auto"/>
          <w:kern w:val="21"/>
          <w:szCs w:val="21"/>
        </w:rPr>
        <w:pict>
          <v:shape id="文本框 24" o:spid="_x0000_s1039" o:spt="202" type="#_x0000_t202" style="position:absolute;left:0pt;margin-left:93.85pt;margin-top:0.2pt;height:25.95pt;width:63.05pt;z-index:25167155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">
            <v:path/>
            <v:fill on="f" focussize="0,0"/>
            <v:stroke on="f" weight="0.5pt" joinstyle="miter"/>
            <v:imagedata o:title=""/>
            <o:lock v:ext="edit"/>
            <v:textbox>
              <w:txbxContent>
                <w:p>
                  <w:pPr/>
                  <w:r>
                    <w:rPr>
                      <w:rFonts w:hint="eastAsia"/>
                    </w:rPr>
                    <w:t>触发对象</w:t>
                  </w:r>
                </w:p>
              </w:txbxContent>
            </v:textbox>
          </v:shape>
        </w:pict>
      </w:r>
      <w:r>
        <w:rPr>
          <w:color w:val="auto"/>
          <w:kern w:val="21"/>
          <w:szCs w:val="21"/>
        </w:rPr>
        <w:pict>
          <v:shape id="文本框 27" o:spid="_x0000_s1041" o:spt="202" type="#_x0000_t202" style="position:absolute;left:0pt;margin-left:252.7pt;margin-top:0.65pt;height:25.95pt;width:80.15pt;z-index:25167360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">
            <v:path/>
            <v:fill on="f" focussize="0,0"/>
            <v:stroke on="f" weight="0.5pt" joinstyle="miter"/>
            <v:imagedata o:title=""/>
            <o:lock v:ext="edit"/>
            <v:textbox>
              <w:txbxContent>
                <w:p>
                  <w:pPr/>
                  <w:r>
                    <w:rPr>
                      <w:rFonts w:hint="eastAsia"/>
                    </w:rPr>
                    <w:t>温度传感器</w:t>
                  </w:r>
                </w:p>
              </w:txbxContent>
            </v:textbox>
          </v:shape>
        </w:pict>
      </w:r>
    </w:p>
    <w:p>
      <w:pPr>
        <w:ind w:firstLine="420" w:firstLineChars="200"/>
        <w:rPr>
          <w:color w:val="auto"/>
          <w:kern w:val="21"/>
          <w:szCs w:val="21"/>
        </w:rPr>
      </w:pPr>
      <w:r>
        <w:rPr>
          <w:color w:val="auto"/>
          <w:kern w:val="21"/>
          <w:szCs w:val="21"/>
        </w:rPr>
        <w:pict>
          <v:line id="直接连接符 25" o:spid="_x0000_s1040" o:spt="20" style="position:absolute;left:0pt;flip:y;margin-left:220.8pt;margin-top:3.7pt;height:26.7pt;width:37.1pt;z-index:25167257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">
            <v:path arrowok="t"/>
            <v:fill focussize="0,0"/>
            <v:stroke color="#000000 [3213]"/>
            <v:imagedata o:title=""/>
            <o:lock v:ext="edit"/>
          </v:line>
        </w:pict>
      </w:r>
      <w:r>
        <w:rPr>
          <w:color w:val="auto"/>
          <w:kern w:val="21"/>
          <w:szCs w:val="21"/>
        </w:rPr>
        <w:pict>
          <v:line id="直接连接符 26" o:spid="_x0000_s1034" o:spt="20" style="position:absolute;left:0pt;margin-left:258.25pt;margin-top:3.7pt;height:0pt;width:56.65pt;z-index:251666432;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">
            <v:path arrowok="t"/>
            <v:fill focussize="0,0"/>
            <v:stroke color="#000000 [3213]"/>
            <v:imagedata o:title=""/>
            <o:lock v:ext="edit"/>
          </v:line>
        </w:pict>
      </w:r>
      <w:r>
        <w:rPr>
          <w:color w:val="auto"/>
          <w:kern w:val="21"/>
          <w:szCs w:val="21"/>
        </w:rPr>
        <w:pict>
          <v:line id="直接连接符 23" o:spid="_x0000_s1033" o:spt="20" style="position:absolute;left:0pt;margin-left:90.65pt;margin-top:3.6pt;height:0.05pt;width:56.7pt;z-index:25166540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">
            <v:path arrowok="t"/>
            <v:fill focussize="0,0"/>
            <v:stroke color="#000000 [3213]"/>
            <v:imagedata o:title=""/>
            <o:lock v:ext="edit"/>
          </v:line>
        </w:pict>
      </w:r>
      <w:r>
        <w:rPr>
          <w:color w:val="auto"/>
          <w:kern w:val="21"/>
          <w:szCs w:val="21"/>
        </w:rPr>
        <w:pict>
          <v:line id="直接连接符 22" o:spid="_x0000_s1032" o:spt="20" style="position:absolute;left:0pt;flip:x y;margin-left:147.3pt;margin-top:3.65pt;height:26pt;width:25.95pt;z-index:25166438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">
            <v:path arrowok="t"/>
            <v:fill focussize="0,0"/>
            <v:stroke color="#000000 [3213]"/>
            <v:imagedata o:title=""/>
            <o:lock v:ext="edit"/>
          </v:line>
        </w:pict>
      </w:r>
    </w:p>
    <w:p>
      <w:pPr>
        <w:ind w:firstLine="420" w:firstLineChars="200"/>
        <w:rPr>
          <w:color w:val="auto"/>
          <w:kern w:val="21"/>
          <w:szCs w:val="21"/>
        </w:rPr>
      </w:pPr>
      <w:r>
        <w:rPr>
          <w:color w:val="auto"/>
          <w:kern w:val="21"/>
          <w:szCs w:val="21"/>
        </w:rPr>
        <w:pict>
          <v:roundrect id="圆角矩形 19" o:spid="_x0000_s1036" o:spt="2" style="position:absolute;left:0pt;margin-left:162.15pt;margin-top:0.7pt;height:57.85pt;width:117.25pt;z-index:251668480;v-text-anchor:middle;mso-width-relative:page;mso-height-relative:page;" filled="f" stroked="t" coordsize="21600,21600" arcsize="0.16666666666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">
            <v:path/>
            <v:fill on="f" focussize="0,0"/>
            <v:stroke weight="2pt" color="#000000 [3213]"/>
            <v:imagedata o:title=""/>
            <o:lock v:ext="edit"/>
          </v:roundrect>
        </w:pict>
      </w:r>
      <w:r>
        <w:rPr>
          <w:color w:val="auto"/>
          <w:kern w:val="21"/>
          <w:szCs w:val="21"/>
        </w:rPr>
        <w:pict>
          <v:shape id="椭圆 21" o:spid="_x0000_s1038" o:spt="3" type="#_x0000_t3" style="position:absolute;left:0pt;margin-left:214.85pt;margin-top:13.35pt;height:5.65pt;width:5.65pt;z-index:251670528;v-text-anchor:middle;mso-width-relative:page;mso-height-relative:page;" fillcolor="#000000 [3213]"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">
            <v:path/>
            <v:fill on="t" focussize="0,0"/>
            <v:stroke weight="2pt" color="#000000 [3213]"/>
            <v:imagedata o:title=""/>
            <o:lock v:ext="edit"/>
          </v:shape>
        </w:pict>
      </w:r>
    </w:p>
    <w:p>
      <w:pPr>
        <w:ind w:firstLine="420" w:firstLineChars="200"/>
        <w:rPr>
          <w:color w:val="auto"/>
          <w:kern w:val="21"/>
          <w:szCs w:val="21"/>
        </w:rPr>
      </w:pPr>
      <w:r>
        <w:rPr>
          <w:color w:val="auto"/>
          <w:kern w:val="21"/>
          <w:szCs w:val="21"/>
        </w:rPr>
        <w:pict>
          <v:shape id="椭圆 20" o:spid="_x0000_s1037" o:spt="3" type="#_x0000_t3" style="position:absolute;left:0pt;margin-left:210.4pt;margin-top:5.9pt;height:14.15pt;width:14.15pt;z-index:251669504;v-text-anchor:middle;mso-width-relative:page;mso-height-relative:page;" fillcolor="#000000 [3213]"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">
            <v:path/>
            <v:fill on="t" focussize="0,0"/>
            <v:stroke weight="2pt" color="#000000 [3213]"/>
            <v:imagedata o:title=""/>
            <o:lock v:ext="edit"/>
          </v:shape>
        </w:pict>
      </w:r>
    </w:p>
    <w:p>
      <w:pPr>
        <w:ind w:firstLine="420" w:firstLineChars="200"/>
        <w:rPr>
          <w:color w:val="auto"/>
          <w:kern w:val="21"/>
          <w:szCs w:val="21"/>
        </w:rPr>
      </w:pPr>
      <w:r>
        <w:rPr>
          <w:color w:val="auto"/>
          <w:kern w:val="21"/>
          <w:szCs w:val="21"/>
        </w:rPr>
        <w:pict>
          <v:line id="直接连接符 28" o:spid="_x0000_s1042" o:spt="20" style="position:absolute;left:0pt;margin-left:214.85pt;margin-top:-0.05pt;height:44.55pt;width:37.85pt;z-index:25167462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">
            <v:path arrowok="t"/>
            <v:fill focussize="0,0"/>
            <v:stroke color="#000000 [3213]"/>
            <v:imagedata o:title=""/>
            <o:lock v:ext="edit"/>
          </v:line>
        </w:pict>
      </w:r>
    </w:p>
    <w:p>
      <w:pPr>
        <w:ind w:firstLine="420" w:firstLineChars="200"/>
        <w:rPr>
          <w:color w:val="auto"/>
          <w:kern w:val="21"/>
          <w:szCs w:val="21"/>
        </w:rPr>
      </w:pPr>
      <w:r>
        <w:rPr>
          <w:color w:val="auto"/>
          <w:kern w:val="21"/>
          <w:szCs w:val="21"/>
        </w:rPr>
        <w:pict>
          <v:shape id="文本框 30" o:spid="_x0000_s1043" o:spt="202" type="#_x0000_t202" style="position:absolute;left:0pt;margin-left:259.95pt;margin-top:10.25pt;height:25.95pt;width:50.45pt;z-index:25167564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">
            <v:path/>
            <v:fill on="f" focussize="0,0"/>
            <v:stroke on="f" weight="0.5pt" joinstyle="miter"/>
            <v:imagedata o:title=""/>
            <o:lock v:ext="edit"/>
            <v:textbox>
              <w:txbxContent>
                <w:p>
                  <w:pPr/>
                  <w:r>
                    <w:rPr>
                      <w:rFonts w:hint="eastAsia"/>
                    </w:rPr>
                    <w:t>针刺点</w:t>
                  </w:r>
                </w:p>
              </w:txbxContent>
            </v:textbox>
          </v:shape>
        </w:pict>
      </w:r>
    </w:p>
    <w:p>
      <w:pPr>
        <w:spacing w:after="120"/>
        <w:ind w:right="1134"/>
        <w:jc w:val="center"/>
        <w:rPr>
          <w:color w:val="auto"/>
          <w:kern w:val="21"/>
          <w:szCs w:val="21"/>
        </w:rPr>
      </w:pPr>
      <w:r>
        <w:rPr>
          <w:color w:val="auto"/>
          <w:kern w:val="21"/>
          <w:szCs w:val="21"/>
        </w:rPr>
        <w:pict>
          <v:line id="直接连接符 29" o:spid="_x0000_s1035" o:spt="20" style="position:absolute;left:0pt;margin-left:253.15pt;margin-top:13.4pt;height:0pt;width:56.65pt;z-index:251667456;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">
            <v:path arrowok="t"/>
            <v:fill focussize="0,0"/>
            <v:stroke color="#000000 [3213]"/>
            <v:imagedata o:title=""/>
            <o:lock v:ext="edit"/>
          </v:line>
        </w:pict>
      </w:r>
    </w:p>
    <w:p>
      <w:pPr>
        <w:spacing w:after="120"/>
        <w:ind w:right="1134"/>
        <w:jc w:val="center"/>
        <w:rPr>
          <w:rFonts w:ascii="黑体" w:hAnsi="黑体" w:eastAsia="黑体"/>
          <w:color w:val="auto"/>
          <w:kern w:val="21"/>
          <w:szCs w:val="21"/>
        </w:rPr>
      </w:pPr>
      <w:r>
        <w:rPr>
          <w:rFonts w:hint="eastAsia" w:ascii="黑体" w:hAnsi="黑体" w:eastAsia="黑体"/>
          <w:color w:val="auto"/>
          <w:kern w:val="21"/>
          <w:szCs w:val="21"/>
        </w:rPr>
        <w:t>图B</w:t>
      </w:r>
      <w:r>
        <w:rPr>
          <w:rFonts w:ascii="黑体" w:hAnsi="黑体" w:eastAsia="黑体"/>
          <w:color w:val="auto"/>
          <w:kern w:val="21"/>
          <w:szCs w:val="21"/>
        </w:rPr>
        <w:t xml:space="preserve">.1 </w:t>
      </w:r>
      <w:r>
        <w:rPr>
          <w:rFonts w:hint="eastAsia" w:ascii="黑体" w:hAnsi="黑体" w:eastAsia="黑体"/>
          <w:color w:val="auto"/>
          <w:kern w:val="21"/>
          <w:szCs w:val="21"/>
        </w:rPr>
        <w:t>针刺触发时温度传感器的布置位置示意图</w:t>
      </w:r>
    </w:p>
    <w:p>
      <w:pPr>
        <w:ind w:firstLine="420" w:firstLineChars="200"/>
        <w:rPr>
          <w:color w:val="auto"/>
          <w:kern w:val="21"/>
          <w:szCs w:val="21"/>
        </w:rPr>
      </w:pPr>
      <w:r>
        <w:rPr>
          <w:rFonts w:hint="eastAsia"/>
          <w:color w:val="auto"/>
          <w:kern w:val="21"/>
          <w:szCs w:val="21"/>
        </w:rPr>
        <w:t>过充触发时，温度传感器应布置在单体蓄电池表面与正负极柱等距且离正负极柱最近的位置。</w:t>
      </w:r>
    </w:p>
    <w:p>
      <w:pPr>
        <w:spacing w:after="120"/>
        <w:ind w:right="1134"/>
        <w:jc w:val="center"/>
        <w:rPr>
          <w:color w:val="auto"/>
          <w:kern w:val="21"/>
          <w:szCs w:val="21"/>
        </w:rPr>
      </w:pPr>
      <w:r>
        <w:rPr>
          <w:color w:val="auto"/>
          <w:kern w:val="21"/>
          <w:szCs w:val="21"/>
        </w:rPr>
        <w:pict>
          <v:shape id="文本框 42" o:spid="_x0000_s1044" o:spt="202" type="#_x0000_t202" style="position:absolute;left:0pt;margin-left:212.5pt;margin-top:-1.8pt;height:21.7pt;width:80.15pt;z-index:251676672;mso-width-relative:page;mso-height-relative:margin;" fillcolor="#FFFFFF [3212]"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">
            <v:path/>
            <v:fill on="t" focussize="0,0"/>
            <v:stroke on="f" weight="0.5pt" joinstyle="miter"/>
            <v:imagedata o:title=""/>
            <o:lock v:ext="edit"/>
            <v:textbox>
              <w:txbxContent>
                <w:p>
                  <w:pPr>
                    <w:jc w:val="center"/>
                  </w:pPr>
                  <w:r>
                    <w:rPr>
                      <w:rFonts w:hint="eastAsia"/>
                    </w:rPr>
                    <w:t>温度传感器</w:t>
                  </w:r>
                </w:p>
              </w:txbxContent>
            </v:textbox>
          </v:shape>
        </w:pict>
      </w:r>
      <w:r>
        <w:rPr>
          <w:color w:val="auto"/>
        </w:rPr>
        <w:pict>
          <v:shape id="文本框 52" o:spid="_x0000_s1045" o:spt="202" type="#_x0000_t202" style="position:absolute;left:0pt;margin-left:269.55pt;margin-top:22.15pt;height:41pt;width:70.85pt;z-index:251677696;mso-width-relative:page;mso-height-relative:margin;" fillcolor="#FFFFFF [3212]"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">
            <v:path/>
            <v:fill on="t" focussize="0,0"/>
            <v:stroke on="f" weight="0.5pt" joinstyle="miter"/>
            <v:imagedata o:title=""/>
            <o:lock v:ext="edit"/>
            <v:textbox>
              <w:txbxContent>
                <w:p>
                  <w:pPr/>
                  <w:r>
                    <w:rPr>
                      <w:rFonts w:hint="eastAsia"/>
                    </w:rPr>
                    <w:t>d</w:t>
                  </w:r>
                  <w:r>
                    <w:rPr>
                      <w:vertAlign w:val="subscript"/>
                    </w:rPr>
                    <w:t>p</w:t>
                  </w:r>
                  <w:r>
                    <w:t>=</w:t>
                  </w:r>
                  <w:r>
                    <w:rPr>
                      <w:rFonts w:hint="eastAsia"/>
                    </w:rPr>
                    <w:t>d</w:t>
                  </w:r>
                  <w:r>
                    <w:rPr>
                      <w:rFonts w:hint="eastAsia"/>
                      <w:vertAlign w:val="subscript"/>
                    </w:rPr>
                    <w:t>n</w:t>
                  </w:r>
                  <w:r>
                    <w:rPr>
                      <w:rFonts w:hint="eastAsia"/>
                    </w:rPr>
                    <w:t>，且</w:t>
                  </w:r>
                </w:p>
                <w:p>
                  <w:pPr/>
                  <w:r>
                    <w:rPr>
                      <w:rFonts w:hint="eastAsia"/>
                    </w:rPr>
                    <w:t>距离最短</w:t>
                  </w:r>
                </w:p>
              </w:txbxContent>
            </v:textbox>
          </v:shape>
        </w:pict>
      </w:r>
      <w:r>
        <w:rPr>
          <w:color w:val="auto"/>
          <w:kern w:val="21"/>
          <w:szCs w:val="21"/>
        </w:rPr>
        <w:pict>
          <v:shape id="文本框 77" o:spid="_x0000_s1048" o:spt="202" type="#_x0000_t202" style="position:absolute;left:0pt;margin-left:74.8pt;margin-top:14.15pt;height:25.95pt;width:70.45pt;z-index:251680768;mso-width-relative:margin;mso-height-relative:page;" fillcolor="#FFFFFF [3212]"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">
            <v:path/>
            <v:fill on="t" focussize="0,0"/>
            <v:stroke on="f" weight="0.5pt" joinstyle="miter"/>
            <v:imagedata o:title=""/>
            <o:lock v:ext="edit"/>
            <v:textbox>
              <w:txbxContent>
                <w:p>
                  <w:pPr>
                    <w:jc w:val="center"/>
                  </w:pPr>
                  <w:r>
                    <w:rPr>
                      <w:rFonts w:hint="eastAsia"/>
                    </w:rPr>
                    <w:t>触发对象</w:t>
                  </w:r>
                </w:p>
              </w:txbxContent>
            </v:textbox>
          </v:shape>
        </w:pict>
      </w:r>
      <w:r>
        <w:rPr>
          <w:color w:val="auto"/>
          <w:kern w:val="21"/>
          <w:szCs w:val="21"/>
        </w:rPr>
        <w:drawing>
          <wp:inline distT="0" distB="0" distL="0" distR="0">
            <wp:extent cx="3432175" cy="1385570"/>
            <wp:effectExtent l="0" t="0" r="0" b="508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8" cstate="print">
                      <a:extLst>
                        <a:ext uri="{28A0092B-C50C-407E-A947-70E740481C1C}">
                          <a14:useLocalDpi xmlns:a14="http://schemas.microsoft.com/office/drawing/2010/main" val="0"/>
                        </a:ext>
                      </a:extLst>
                    </a:blip>
                    <a:srcRect b="41913"/>
                    <a:stretch>
                      <a:fillRect/>
                    </a:stretch>
                  </pic:blipFill>
                  <pic:spPr>
                    <a:xfrm>
                      <a:off x="0" y="0"/>
                      <a:ext cx="3430905" cy="1385418"/>
                    </a:xfrm>
                    <a:prstGeom prst="rect">
                      <a:avLst/>
                    </a:prstGeom>
                    <a:noFill/>
                    <a:ln>
                      <a:noFill/>
                    </a:ln>
                  </pic:spPr>
                </pic:pic>
              </a:graphicData>
            </a:graphic>
          </wp:inline>
        </w:drawing>
      </w:r>
    </w:p>
    <w:p>
      <w:pPr>
        <w:spacing w:after="120"/>
        <w:ind w:right="1134"/>
        <w:jc w:val="center"/>
        <w:rPr>
          <w:color w:val="auto"/>
          <w:kern w:val="21"/>
          <w:szCs w:val="21"/>
        </w:rPr>
      </w:pPr>
      <w:r>
        <w:rPr>
          <w:color w:val="auto"/>
          <w:kern w:val="21"/>
          <w:szCs w:val="21"/>
        </w:rPr>
        <w:pict>
          <v:shape id="文本框 65" o:spid="_x0000_s1046" o:spt="202" type="#_x0000_t202" style="position:absolute;left:0pt;margin-left:215.8pt;margin-top:-3.1pt;height:21.7pt;width:80.15pt;z-index:251678720;mso-width-relative:page;mso-height-relative:margin;" fillcolor="#FFFFFF [3212]"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">
            <v:path/>
            <v:fill on="t" focussize="0,0"/>
            <v:stroke on="f" weight="0.5pt" joinstyle="miter"/>
            <v:imagedata o:title=""/>
            <o:lock v:ext="edit"/>
            <v:textbox>
              <w:txbxContent>
                <w:p>
                  <w:pPr>
                    <w:jc w:val="center"/>
                  </w:pPr>
                  <w:r>
                    <w:rPr>
                      <w:rFonts w:hint="eastAsia"/>
                    </w:rPr>
                    <w:t>温度传感器</w:t>
                  </w:r>
                </w:p>
              </w:txbxContent>
            </v:textbox>
          </v:shape>
        </w:pict>
      </w:r>
      <w:r>
        <w:rPr>
          <w:color w:val="auto"/>
          <w:kern w:val="21"/>
          <w:szCs w:val="21"/>
        </w:rPr>
        <w:pict>
          <v:shape id="文本框 75" o:spid="_x0000_s1047" o:spt="202" type="#_x0000_t202" style="position:absolute;left:0pt;margin-left:70.2pt;margin-top:16.15pt;height:21.7pt;width:80.15pt;z-index:251679744;mso-width-relative:page;mso-height-relative:margin;" fillcolor="#FFFFFF [3212]"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">
            <v:path/>
            <v:fill on="t" focussize="0,0"/>
            <v:stroke on="f" weight="0.5pt" joinstyle="miter"/>
            <v:imagedata o:title=""/>
            <o:lock v:ext="edit"/>
            <v:textbox>
              <w:txbxContent>
                <w:p>
                  <w:pPr>
                    <w:jc w:val="center"/>
                  </w:pPr>
                  <w:r>
                    <w:rPr>
                      <w:rFonts w:hint="eastAsia"/>
                    </w:rPr>
                    <w:t>触发对象</w:t>
                  </w:r>
                </w:p>
              </w:txbxContent>
            </v:textbox>
          </v:shape>
        </w:pict>
      </w:r>
      <w:r>
        <w:rPr>
          <w:color w:val="auto"/>
          <w:kern w:val="21"/>
          <w:szCs w:val="21"/>
        </w:rPr>
        <w:drawing>
          <wp:inline distT="0" distB="0" distL="0" distR="0">
            <wp:extent cx="3432175" cy="103632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8" cstate="print">
                      <a:extLst>
                        <a:ext uri="{28A0092B-C50C-407E-A947-70E740481C1C}">
                          <a14:useLocalDpi xmlns:a14="http://schemas.microsoft.com/office/drawing/2010/main" val="0"/>
                        </a:ext>
                      </a:extLst>
                    </a:blip>
                    <a:srcRect t="56567"/>
                    <a:stretch>
                      <a:fillRect/>
                    </a:stretch>
                  </pic:blipFill>
                  <pic:spPr>
                    <a:xfrm>
                      <a:off x="0" y="0"/>
                      <a:ext cx="3430905" cy="1035909"/>
                    </a:xfrm>
                    <a:prstGeom prst="rect">
                      <a:avLst/>
                    </a:prstGeom>
                    <a:noFill/>
                    <a:ln>
                      <a:noFill/>
                    </a:ln>
                  </pic:spPr>
                </pic:pic>
              </a:graphicData>
            </a:graphic>
          </wp:inline>
        </w:drawing>
      </w:r>
    </w:p>
    <w:p>
      <w:pPr>
        <w:spacing w:after="120"/>
        <w:ind w:right="1134"/>
        <w:jc w:val="center"/>
        <w:rPr>
          <w:rFonts w:ascii="黑体" w:hAnsi="黑体" w:eastAsia="黑体"/>
          <w:color w:val="auto"/>
          <w:kern w:val="21"/>
          <w:szCs w:val="21"/>
        </w:rPr>
      </w:pPr>
      <w:r>
        <w:rPr>
          <w:rFonts w:hint="eastAsia" w:ascii="黑体" w:hAnsi="黑体" w:eastAsia="黑体"/>
          <w:color w:val="auto"/>
          <w:kern w:val="21"/>
          <w:szCs w:val="21"/>
        </w:rPr>
        <w:t>图</w:t>
      </w:r>
      <w:r>
        <w:rPr>
          <w:rFonts w:ascii="黑体" w:hAnsi="黑体" w:eastAsia="黑体"/>
          <w:color w:val="auto"/>
          <w:kern w:val="21"/>
          <w:szCs w:val="21"/>
        </w:rPr>
        <w:t xml:space="preserve"> </w:t>
      </w:r>
      <w:r>
        <w:rPr>
          <w:rFonts w:hint="eastAsia" w:ascii="黑体" w:hAnsi="黑体" w:eastAsia="黑体"/>
          <w:color w:val="auto"/>
          <w:kern w:val="21"/>
          <w:szCs w:val="21"/>
        </w:rPr>
        <w:t>B</w:t>
      </w:r>
      <w:r>
        <w:rPr>
          <w:rFonts w:ascii="黑体" w:hAnsi="黑体" w:eastAsia="黑体"/>
          <w:color w:val="auto"/>
          <w:kern w:val="21"/>
          <w:szCs w:val="21"/>
        </w:rPr>
        <w:t xml:space="preserve">.2 </w:t>
      </w:r>
      <w:r>
        <w:rPr>
          <w:rFonts w:hint="eastAsia" w:ascii="黑体" w:hAnsi="黑体" w:eastAsia="黑体"/>
          <w:color w:val="auto"/>
          <w:kern w:val="21"/>
          <w:szCs w:val="21"/>
        </w:rPr>
        <w:t>过充触发时温度传感器的布置位置示意图</w:t>
      </w:r>
    </w:p>
    <w:p>
      <w:pPr>
        <w:ind w:firstLine="420" w:firstLineChars="200"/>
        <w:rPr>
          <w:color w:val="auto"/>
          <w:kern w:val="21"/>
          <w:szCs w:val="21"/>
        </w:rPr>
      </w:pPr>
      <w:r>
        <w:rPr>
          <w:rFonts w:hint="eastAsia"/>
          <w:color w:val="auto"/>
          <w:kern w:val="21"/>
          <w:szCs w:val="21"/>
        </w:rPr>
        <w:t>加热触发时，温度传感器布置在远离热传导的一侧，即安装在加热装置的对侧</w:t>
      </w:r>
      <w:r>
        <w:rPr>
          <w:color w:val="auto"/>
          <w:kern w:val="21"/>
          <w:szCs w:val="21"/>
        </w:rPr>
        <w:t>(</w:t>
      </w:r>
      <w:r>
        <w:rPr>
          <w:rFonts w:hint="eastAsia"/>
          <w:color w:val="auto"/>
          <w:kern w:val="21"/>
          <w:szCs w:val="21"/>
        </w:rPr>
        <w:t>如图B</w:t>
      </w:r>
      <w:r>
        <w:rPr>
          <w:color w:val="auto"/>
          <w:kern w:val="21"/>
          <w:szCs w:val="21"/>
        </w:rPr>
        <w:t>.3)</w:t>
      </w:r>
      <w:r>
        <w:rPr>
          <w:rFonts w:hint="eastAsia"/>
          <w:color w:val="auto"/>
          <w:kern w:val="21"/>
          <w:szCs w:val="21"/>
        </w:rPr>
        <w:t>。如果很难直接安装温度传感器，则将其布置在能够探测到触发对象连续温升的位置。</w:t>
      </w:r>
    </w:p>
    <w:tbl>
      <w:tblPr>
        <w:tblStyle w:val="44"/>
        <w:tblW w:w="903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3"/>
        <w:gridCol w:w="1897"/>
        <w:gridCol w:w="1697"/>
        <w:gridCol w:w="3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73" w:type="dxa"/>
          </w:tcPr>
          <w:p>
            <w:pPr>
              <w:pStyle w:val="106"/>
              <w:widowControl w:val="0"/>
              <w:numPr>
                <w:ilvl w:val="0"/>
                <w:numId w:val="0"/>
              </w:numPr>
              <w:tabs>
                <w:tab w:val="clear" w:pos="0"/>
                <w:tab w:val="clear" w:pos="839"/>
              </w:tabs>
              <w:spacing w:line="360" w:lineRule="auto"/>
              <w:jc w:val="center"/>
              <w:rPr>
                <w:rFonts w:ascii="Times New Roman"/>
                <w:color w:val="auto"/>
              </w:rPr>
            </w:pPr>
            <w:r>
              <w:rPr>
                <w:rFonts w:hint="eastAsia" w:ascii="Times New Roman"/>
                <w:color w:val="auto"/>
              </w:rPr>
              <w:t>硬壳及软包电池</w:t>
            </w:r>
          </w:p>
        </w:tc>
        <w:tc>
          <w:tcPr>
            <w:tcW w:w="1897" w:type="dxa"/>
          </w:tcPr>
          <w:p>
            <w:pPr>
              <w:pStyle w:val="106"/>
              <w:widowControl w:val="0"/>
              <w:numPr>
                <w:ilvl w:val="0"/>
                <w:numId w:val="0"/>
              </w:numPr>
              <w:tabs>
                <w:tab w:val="clear" w:pos="0"/>
                <w:tab w:val="clear" w:pos="839"/>
              </w:tabs>
              <w:spacing w:line="360" w:lineRule="auto"/>
              <w:jc w:val="center"/>
              <w:rPr>
                <w:rFonts w:ascii="Times New Roman"/>
                <w:color w:val="auto"/>
              </w:rPr>
            </w:pPr>
            <w:r>
              <w:rPr>
                <w:rFonts w:hint="eastAsia" w:ascii="Times New Roman"/>
                <w:color w:val="auto"/>
              </w:rPr>
              <w:t>圆柱形电池</w:t>
            </w:r>
            <w:r>
              <w:rPr>
                <w:rFonts w:ascii="Times New Roman"/>
                <w:color w:val="auto"/>
              </w:rPr>
              <w:t>-I</w:t>
            </w:r>
          </w:p>
        </w:tc>
        <w:tc>
          <w:tcPr>
            <w:tcW w:w="1697" w:type="dxa"/>
          </w:tcPr>
          <w:p>
            <w:pPr>
              <w:pStyle w:val="106"/>
              <w:widowControl w:val="0"/>
              <w:numPr>
                <w:ilvl w:val="0"/>
                <w:numId w:val="0"/>
              </w:numPr>
              <w:tabs>
                <w:tab w:val="clear" w:pos="0"/>
                <w:tab w:val="clear" w:pos="839"/>
              </w:tabs>
              <w:spacing w:line="360" w:lineRule="auto"/>
              <w:jc w:val="center"/>
              <w:rPr>
                <w:rFonts w:ascii="Times New Roman"/>
                <w:color w:val="auto"/>
              </w:rPr>
            </w:pPr>
            <w:r>
              <w:rPr>
                <w:rFonts w:hint="eastAsia" w:ascii="Times New Roman"/>
                <w:color w:val="auto"/>
              </w:rPr>
              <w:t>圆柱形电池</w:t>
            </w:r>
            <w:r>
              <w:rPr>
                <w:rFonts w:ascii="Times New Roman"/>
                <w:color w:val="auto"/>
              </w:rPr>
              <w:t>-II</w:t>
            </w:r>
          </w:p>
        </w:tc>
        <w:tc>
          <w:tcPr>
            <w:tcW w:w="3372" w:type="dxa"/>
          </w:tcPr>
          <w:p>
            <w:pPr>
              <w:pStyle w:val="106"/>
              <w:widowControl w:val="0"/>
              <w:numPr>
                <w:ilvl w:val="0"/>
                <w:numId w:val="0"/>
              </w:numPr>
              <w:tabs>
                <w:tab w:val="clear" w:pos="0"/>
                <w:tab w:val="clear" w:pos="839"/>
              </w:tabs>
              <w:spacing w:line="360" w:lineRule="auto"/>
              <w:jc w:val="center"/>
              <w:rPr>
                <w:rFonts w:ascii="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073" w:type="dxa"/>
          </w:tcPr>
          <w:p>
            <w:pPr>
              <w:pStyle w:val="106"/>
              <w:widowControl w:val="0"/>
              <w:numPr>
                <w:ilvl w:val="0"/>
                <w:numId w:val="0"/>
              </w:numPr>
              <w:tabs>
                <w:tab w:val="clear" w:pos="0"/>
                <w:tab w:val="clear" w:pos="839"/>
              </w:tabs>
              <w:spacing w:line="360" w:lineRule="auto"/>
              <w:jc w:val="center"/>
              <w:rPr>
                <w:rFonts w:ascii="Times New Roman"/>
                <w:color w:val="auto"/>
              </w:rPr>
            </w:pPr>
            <w:r>
              <w:rPr>
                <w:rFonts w:ascii="Times New Roman"/>
                <w:color w:val="auto"/>
              </w:rPr>
              <w:drawing>
                <wp:inline distT="0" distB="0" distL="0" distR="0">
                  <wp:extent cx="1065530" cy="935990"/>
                  <wp:effectExtent l="0" t="0" r="0" b="0"/>
                  <wp:docPr id="16" name="图片 16"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19"/>
                          <pic:cNvPicPr>
                            <a:picLocks noChangeAspect="1" noChangeArrowheads="1"/>
                          </pic:cNvPicPr>
                        </pic:nvPicPr>
                        <pic:blipFill>
                          <a:blip r:embed="rId6" cstate="print">
                            <a:extLst>
                              <a:ext uri="{28A0092B-C50C-407E-A947-70E740481C1C}">
                                <a14:useLocalDpi xmlns:a14="http://schemas.microsoft.com/office/drawing/2010/main" val="0"/>
                              </a:ext>
                            </a:extLst>
                          </a:blip>
                          <a:srcRect t="11961" r="77031" b="19126"/>
                          <a:stretch>
                            <a:fillRect/>
                          </a:stretch>
                        </pic:blipFill>
                        <pic:spPr>
                          <a:xfrm>
                            <a:off x="0" y="0"/>
                            <a:ext cx="1066000" cy="936000"/>
                          </a:xfrm>
                          <a:prstGeom prst="rect">
                            <a:avLst/>
                          </a:prstGeom>
                          <a:noFill/>
                          <a:ln>
                            <a:noFill/>
                          </a:ln>
                        </pic:spPr>
                      </pic:pic>
                    </a:graphicData>
                  </a:graphic>
                </wp:inline>
              </w:drawing>
            </w:r>
          </w:p>
        </w:tc>
        <w:tc>
          <w:tcPr>
            <w:tcW w:w="1897" w:type="dxa"/>
          </w:tcPr>
          <w:p>
            <w:pPr>
              <w:pStyle w:val="106"/>
              <w:numPr>
                <w:ilvl w:val="0"/>
                <w:numId w:val="0"/>
              </w:numPr>
              <w:tabs>
                <w:tab w:val="clear" w:pos="0"/>
                <w:tab w:val="clear" w:pos="839"/>
              </w:tabs>
              <w:spacing w:line="360" w:lineRule="auto"/>
              <w:jc w:val="left"/>
              <w:rPr>
                <w:rFonts w:ascii="Times New Roman"/>
                <w:color w:val="auto"/>
              </w:rPr>
            </w:pPr>
            <w:r>
              <w:rPr>
                <w:rFonts w:ascii="Times New Roman"/>
                <w:color w:val="auto"/>
              </w:rPr>
              <w:drawing>
                <wp:inline distT="0" distB="0" distL="0" distR="0">
                  <wp:extent cx="1062990" cy="935990"/>
                  <wp:effectExtent l="0" t="0" r="3810" b="0"/>
                  <wp:docPr id="17" name="图片 17"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19"/>
                          <pic:cNvPicPr>
                            <a:picLocks noChangeAspect="1" noChangeArrowheads="1"/>
                          </pic:cNvPicPr>
                        </pic:nvPicPr>
                        <pic:blipFill>
                          <a:blip r:embed="rId7" cstate="print">
                            <a:extLst>
                              <a:ext uri="{28A0092B-C50C-407E-A947-70E740481C1C}">
                                <a14:useLocalDpi xmlns:a14="http://schemas.microsoft.com/office/drawing/2010/main" val="0"/>
                              </a:ext>
                            </a:extLst>
                          </a:blip>
                          <a:srcRect l="24929" t="11961" r="45799"/>
                          <a:stretch>
                            <a:fillRect/>
                          </a:stretch>
                        </pic:blipFill>
                        <pic:spPr>
                          <a:xfrm>
                            <a:off x="0" y="0"/>
                            <a:ext cx="1063368" cy="936000"/>
                          </a:xfrm>
                          <a:prstGeom prst="rect">
                            <a:avLst/>
                          </a:prstGeom>
                          <a:noFill/>
                          <a:ln>
                            <a:noFill/>
                          </a:ln>
                        </pic:spPr>
                      </pic:pic>
                    </a:graphicData>
                  </a:graphic>
                </wp:inline>
              </w:drawing>
            </w:r>
          </w:p>
        </w:tc>
        <w:tc>
          <w:tcPr>
            <w:tcW w:w="1697" w:type="dxa"/>
          </w:tcPr>
          <w:p>
            <w:pPr>
              <w:pStyle w:val="106"/>
              <w:numPr>
                <w:ilvl w:val="0"/>
                <w:numId w:val="0"/>
              </w:numPr>
              <w:tabs>
                <w:tab w:val="clear" w:pos="0"/>
                <w:tab w:val="clear" w:pos="839"/>
              </w:tabs>
              <w:spacing w:line="360" w:lineRule="auto"/>
              <w:jc w:val="center"/>
              <w:rPr>
                <w:rFonts w:ascii="Times New Roman"/>
                <w:color w:val="auto"/>
              </w:rPr>
            </w:pPr>
            <w:r>
              <w:rPr>
                <w:rFonts w:ascii="Times New Roman"/>
                <w:color w:val="auto"/>
              </w:rPr>
              <w:drawing>
                <wp:inline distT="0" distB="0" distL="0" distR="0">
                  <wp:extent cx="675640" cy="935990"/>
                  <wp:effectExtent l="0" t="0" r="0" b="0"/>
                  <wp:docPr id="18" name="图片 18" descr="图片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19"/>
                          <pic:cNvPicPr>
                            <a:picLocks noChangeAspect="1" noChangeArrowheads="1"/>
                          </pic:cNvPicPr>
                        </pic:nvPicPr>
                        <pic:blipFill>
                          <a:blip r:embed="rId6" cstate="print">
                            <a:extLst>
                              <a:ext uri="{28A0092B-C50C-407E-A947-70E740481C1C}">
                                <a14:useLocalDpi xmlns:a14="http://schemas.microsoft.com/office/drawing/2010/main" val="0"/>
                              </a:ext>
                            </a:extLst>
                          </a:blip>
                          <a:srcRect l="54622" t="27754" r="32353" b="10623"/>
                          <a:stretch>
                            <a:fillRect/>
                          </a:stretch>
                        </pic:blipFill>
                        <pic:spPr>
                          <a:xfrm>
                            <a:off x="0" y="0"/>
                            <a:ext cx="676001" cy="936000"/>
                          </a:xfrm>
                          <a:prstGeom prst="rect">
                            <a:avLst/>
                          </a:prstGeom>
                          <a:noFill/>
                          <a:ln>
                            <a:noFill/>
                          </a:ln>
                        </pic:spPr>
                      </pic:pic>
                    </a:graphicData>
                  </a:graphic>
                </wp:inline>
              </w:drawing>
            </w:r>
          </w:p>
        </w:tc>
        <w:tc>
          <w:tcPr>
            <w:tcW w:w="3372" w:type="dxa"/>
          </w:tcPr>
          <w:p>
            <w:pPr>
              <w:pStyle w:val="106"/>
              <w:numPr>
                <w:ilvl w:val="0"/>
                <w:numId w:val="0"/>
              </w:numPr>
              <w:tabs>
                <w:tab w:val="clear" w:pos="0"/>
                <w:tab w:val="clear" w:pos="839"/>
              </w:tabs>
              <w:spacing w:line="360" w:lineRule="auto"/>
              <w:jc w:val="center"/>
              <w:rPr>
                <w:rFonts w:ascii="Times New Roman"/>
                <w:color w:val="auto"/>
              </w:rPr>
            </w:pPr>
            <w:r>
              <w:rPr>
                <w:rFonts w:ascii="Times New Roman"/>
                <w:color w:val="auto"/>
              </w:rPr>
              <w:pict>
                <v:group id="组合 1" o:spid="_x0000_s1049" o:spt="203" style="position:absolute;left:0pt;margin-left:-1.35pt;margin-top:0.15pt;height:72pt;width:162.45pt;z-index:251681792;mso-width-relative:margin;mso-height-relative:margin;" coordsize="20635,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">
                  <o:lock v:ext="edit"/>
                  <v:shape id="文本框 11" o:spid="_x0000_s1050" o:spt="202" type="#_x0000_t202" style="position:absolute;left:0;top:0;height:9147;width:20635;" fillcolor="#FFFFFF [3201]"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v:path/>
                    <v:fill on="t" focussize="0,0"/>
                    <v:stroke weight="0.5pt" joinstyle="miter"/>
                    <v:imagedata o:title=""/>
                    <o:lock v:ext="edit"/>
                    <v:textbox>
                      <w:txbxContent>
                        <w:p>
                          <w:pPr/>
                          <w:r>
                            <w:rPr>
                              <w:rFonts w:hint="eastAsia"/>
                            </w:rPr>
                            <w:t xml:space="preserve">           加热装置</w:t>
                          </w:r>
                        </w:p>
                        <w:p>
                          <w:pPr/>
                          <w:r>
                            <w:rPr>
                              <w:rFonts w:hint="eastAsia"/>
                            </w:rPr>
                            <w:t xml:space="preserve">           加热装置(电阻丝)</w:t>
                          </w:r>
                        </w:p>
                        <w:p>
                          <w:pPr>
                            <w:pStyle w:val="155"/>
                            <w:ind w:left="420" w:firstLine="0" w:firstLineChars="0"/>
                          </w:pPr>
                          <w:r>
                            <w:rPr>
                              <w:rFonts w:hint="eastAsia"/>
                            </w:rPr>
                            <w:t xml:space="preserve">       温度监测器</w:t>
                          </w:r>
                        </w:p>
                        <w:p>
                          <w:pPr>
                            <w:pStyle w:val="155"/>
                            <w:ind w:left="420" w:firstLine="0" w:firstLineChars="0"/>
                          </w:pPr>
                          <w:r>
                            <w:rPr>
                              <w:rFonts w:hint="eastAsia"/>
                            </w:rPr>
                            <w:t xml:space="preserve">       连接</w:t>
                          </w:r>
                        </w:p>
                        <w:p>
                          <w:pPr>
                            <w:pStyle w:val="155"/>
                            <w:ind w:left="420" w:firstLine="0" w:firstLineChars="0"/>
                          </w:pPr>
                        </w:p>
                      </w:txbxContent>
                    </v:textbox>
                  </v:shape>
                  <v:rect id="矩形 12" o:spid="_x0000_s1051" o:spt="1" style="position:absolute;left:1548;top:663;height:1251;width:3607;v-text-anchor:middle;" fillcolor="#000000 [3213]"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Sr8AA&#10;AADbAAAADwAAAGRycy9kb3ducmV2LnhtbERPPU/DMBDdkfofrKvERp12CBDqVlWlIGCj7cB4io84&#10;anxO7SMN/x4jIbHd0/u89XbyvRoppi6wgeWiAEXcBNtxa+B0rO8eQCVBttgHJgPflGC7md2ssbLh&#10;yu80HqRVOYRThQacyFBpnRpHHtMiDMSZ+wzRo2QYW20jXnO47/WqKErtsePc4HCgvaPmfPjyBko5&#10;faBcXuMZH597HO/L2tVvxtzOp90TKKFJ/sV/7heb56/g95d8gN7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hSr8AAAADbAAAADwAAAAAAAAAAAAAAAACYAgAAZHJzL2Rvd25y&#10;ZXYueG1sUEsFBgAAAAAEAAQA9QAAAIUDAAAAAA==&#10;">
                    <v:path/>
                    <v:fill on="t" focussize="0,0"/>
                    <v:stroke weight="2pt" color="#000000 [3213]"/>
                    <v:imagedata o:title=""/>
                    <o:lock v:ext="edit"/>
                  </v:rect>
                  <v:shape id="椭圆 13" o:spid="_x0000_s1052" o:spt="3" type="#_x0000_t3" style="position:absolute;left:2875;top:4940;height:718;width:718;v-text-anchor:middle;" fillcolor="#000000 [3213]"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9c1cAA&#10;AADbAAAADwAAAGRycy9kb3ducmV2LnhtbERPzYrCMBC+C75DGGEvYlMVRGqjyILsHvai7QMMydhW&#10;m0m3iVrffrMgeJuP73fy3WBbcafeN44VzJMUBLF2puFKQVkcZmsQPiAbbB2Tgid52G3Hoxwz4x58&#10;pPspVCKGsM9QQR1Cl0npdU0WfeI64sidXW8xRNhX0vT4iOG2lYs0XUmLDceGGjv6rElfTzeroDj/&#10;eG+PpX4Wq8VN/7rlZbr+UupjMuw3IAIN4S1+ub9NnL+E/1/iA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99c1cAAAADbAAAADwAAAAAAAAAAAAAAAACYAgAAZHJzL2Rvd25y&#10;ZXYueG1sUEsFBgAAAAAEAAQA9QAAAIUDAAAAAA==&#10;">
                    <v:path/>
                    <v:fill on="t" focussize="0,0"/>
                    <v:stroke weight="2pt" color="#000000 [3213]"/>
                    <v:imagedata o:title=""/>
                    <o:lock v:ext="edit"/>
                  </v:shape>
                  <v:shape id="左右箭头 14" o:spid="_x0000_s1053" o:spt="69" type="#_x0000_t69" style="position:absolute;left:1769;top:6858;height:1028;width:2655;v-text-anchor:middle;" filled="f"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8Mi8AA&#10;AADbAAAADwAAAGRycy9kb3ducmV2LnhtbERPTWvDMAy9D/ofjAq7rc5GGCWLE8qgpfTUdaVnYWtJ&#10;SCynttdk/74eDHbT432qrGc7iBv50DlW8LzKQBBrZzpuFJw/t09rECEiGxwck4IfClBXi4cSC+Mm&#10;/qDbKTYihXAoUEEb41hIGXRLFsPKjcSJ+3LeYkzQN9J4nFK4HeRLlr1Kix2nhhZHem9J96dvq6Dz&#10;691m0tkx77U758PlynZ7UOpxOW/eQESa47/4z703aX4Ov7+kA2R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58Mi8AAAADbAAAADwAAAAAAAAAAAAAAAACYAgAAZHJzL2Rvd25y&#10;ZXYueG1sUEsFBgAAAAAEAAQA9QAAAIUDAAAAAA==&#10;" adj="4186">
                    <v:path/>
                    <v:fill on="f" focussize="0,0"/>
                    <v:stroke weight="2pt" color="#000000 [3213]" joinstyle="miter"/>
                    <v:imagedata o:title=""/>
                    <o:lock v:ext="edit"/>
                  </v:shape>
                  <v:shape id="曲线连接符 15" o:spid="_x0000_s1054" o:spt="38" type="#_x0000_t38" style="position:absolute;left:1769;top:2875;flip:y;height:1105;width:3004;" o:connectortype="curved"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o3HcAAAADbAAAADwAAAGRycy9kb3ducmV2LnhtbERP24rCMBB9F/yHMMK+aap4azWKCAv6&#10;sIjd/YCxmV52m0lpota/NwuCb3M411lvO1OLG7WusqxgPIpAEGdWV1wo+Pn+HC5BOI+ssbZMCh7k&#10;YLvp99aYaHvnM91SX4gQwi5BBaX3TSKly0oy6Ea2IQ5cbluDPsC2kLrFewg3tZxE0VwarDg0lNjQ&#10;vqTsL70aBTmdut/HVzWeuriO48vxMs2bhVIfg263AuGp82/xy33QYf4M/n8JB8jN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aNx3AAAAA2wAAAA8AAAAAAAAAAAAAAAAA&#10;oQIAAGRycy9kb3ducmV2LnhtbFBLBQYAAAAABAAEAPkAAACOAwAAAAA=&#10;" adj="10800">
                    <v:path arrowok="t"/>
                    <v:fill on="f" focussize="0,0"/>
                    <v:stroke weight="3pt" color="#000000 [3213]"/>
                    <v:imagedata o:title=""/>
                    <o:lock v:ext="edit"/>
                  </v:shape>
                </v:group>
              </w:pict>
            </w:r>
          </w:p>
        </w:tc>
      </w:tr>
    </w:tbl>
    <w:p>
      <w:pPr>
        <w:pStyle w:val="106"/>
        <w:numPr>
          <w:ilvl w:val="0"/>
          <w:numId w:val="0"/>
        </w:numPr>
        <w:tabs>
          <w:tab w:val="clear" w:pos="0"/>
          <w:tab w:val="clear" w:pos="839"/>
        </w:tabs>
        <w:ind w:left="710"/>
        <w:jc w:val="center"/>
        <w:rPr>
          <w:rFonts w:ascii="黑体" w:hAnsi="黑体" w:eastAsia="黑体"/>
          <w:color w:val="auto"/>
        </w:rPr>
      </w:pPr>
      <w:r>
        <w:rPr>
          <w:rFonts w:hint="eastAsia" w:ascii="黑体" w:hAnsi="黑体" w:eastAsia="黑体"/>
          <w:color w:val="auto"/>
          <w:szCs w:val="20"/>
        </w:rPr>
        <w:t>图</w:t>
      </w:r>
      <w:r>
        <w:rPr>
          <w:rFonts w:hint="eastAsia" w:ascii="黑体" w:hAnsi="黑体" w:eastAsia="黑体"/>
          <w:color w:val="auto"/>
        </w:rPr>
        <w:t>B</w:t>
      </w:r>
      <w:r>
        <w:rPr>
          <w:rFonts w:ascii="黑体" w:hAnsi="黑体" w:eastAsia="黑体"/>
          <w:color w:val="auto"/>
          <w:szCs w:val="20"/>
        </w:rPr>
        <w:t xml:space="preserve">.3 </w:t>
      </w:r>
      <w:r>
        <w:rPr>
          <w:rFonts w:hint="eastAsia" w:ascii="黑体" w:hAnsi="黑体" w:eastAsia="黑体"/>
          <w:color w:val="auto"/>
        </w:rPr>
        <w:t>加热触发时温度传感器的布置位置示意图</w:t>
      </w:r>
    </w:p>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Pr>
        <w:widowControl/>
        <w:jc w:val="left"/>
        <w:rPr>
          <w:rFonts w:hAnsi="黑体"/>
          <w:color w:val="auto"/>
        </w:rPr>
        <w:sectPr>
          <w:headerReference r:id="rId3" w:type="default"/>
          <w:footerReference r:id="rId4" w:type="default"/>
          <w:pgSz w:w="11906" w:h="16838"/>
          <w:pgMar w:top="567" w:right="1134" w:bottom="1134" w:left="1418" w:header="1418" w:footer="1134" w:gutter="0"/>
          <w:pgNumType w:fmt="decimal" w:start="1"/>
          <w:cols w:space="425" w:num="1"/>
          <w:formProt w:val="0"/>
          <w:docGrid w:type="lines" w:linePitch="312" w:charSpace="0"/>
        </w:sectPr>
      </w:pPr>
      <w:bookmarkStart w:id="158" w:name="_Toc450582273"/>
      <w:bookmarkEnd w:id="158"/>
      <w:bookmarkStart w:id="159" w:name="_Toc450582096"/>
      <w:bookmarkEnd w:id="159"/>
      <w:bookmarkStart w:id="160" w:name="_Toc450582274"/>
      <w:bookmarkEnd w:id="160"/>
      <w:bookmarkStart w:id="161" w:name="_Toc450582095"/>
      <w:bookmarkEnd w:id="161"/>
      <w:bookmarkStart w:id="162" w:name="_Toc450582369"/>
      <w:bookmarkEnd w:id="162"/>
      <w:bookmarkStart w:id="163" w:name="_Toc450582368"/>
      <w:bookmarkEnd w:id="163"/>
    </w:p>
    <w:p>
      <w:pPr>
        <w:pStyle w:val="87"/>
        <w:spacing w:after="0"/>
        <w:ind w:left="0"/>
        <w:rPr>
          <w:color w:val="auto"/>
        </w:rPr>
      </w:pPr>
      <w:r>
        <w:rPr>
          <w:color w:val="auto"/>
        </w:rPr>
        <w:br w:type="textWrapping"/>
      </w:r>
      <w:bookmarkStart w:id="164" w:name="_Toc452750842"/>
      <w:bookmarkStart w:id="165" w:name="_Toc450582275"/>
      <w:bookmarkStart w:id="166" w:name="_Toc450582097"/>
      <w:bookmarkStart w:id="167" w:name="_Toc450582370"/>
      <w:r>
        <w:rPr>
          <w:rFonts w:hint="eastAsia"/>
          <w:color w:val="auto"/>
        </w:rPr>
        <w:t>碰撞试验方法</w:t>
      </w:r>
      <w:bookmarkEnd w:id="164"/>
      <w:bookmarkStart w:id="168" w:name="_Toc450584448"/>
    </w:p>
    <w:p>
      <w:pPr>
        <w:jc w:val="center"/>
        <w:rPr>
          <w:rFonts w:ascii="黑体" w:eastAsia="黑体"/>
          <w:color w:val="auto"/>
          <w:kern w:val="0"/>
          <w:szCs w:val="20"/>
        </w:rPr>
      </w:pPr>
      <w:r>
        <w:rPr>
          <w:rFonts w:hint="eastAsia" w:ascii="黑体" w:eastAsia="黑体"/>
          <w:color w:val="auto"/>
          <w:kern w:val="0"/>
          <w:szCs w:val="20"/>
        </w:rPr>
        <w:t>（规范性附录）</w:t>
      </w:r>
      <w:bookmarkEnd w:id="168"/>
    </w:p>
    <w:bookmarkEnd w:id="165"/>
    <w:bookmarkEnd w:id="166"/>
    <w:bookmarkEnd w:id="167"/>
    <w:p>
      <w:pPr>
        <w:pStyle w:val="104"/>
        <w:spacing w:before="312" w:after="312"/>
        <w:ind w:left="0"/>
        <w:rPr>
          <w:rFonts w:ascii="Times New Roman"/>
          <w:color w:val="auto"/>
        </w:rPr>
      </w:pPr>
      <w:r>
        <w:rPr>
          <w:rFonts w:hint="eastAsia" w:ascii="Times New Roman"/>
          <w:color w:val="auto"/>
        </w:rPr>
        <w:t>试验场地</w:t>
      </w:r>
    </w:p>
    <w:p>
      <w:pPr>
        <w:ind w:firstLine="420"/>
        <w:outlineLvl w:val="1"/>
        <w:rPr>
          <w:color w:val="auto"/>
        </w:rPr>
      </w:pPr>
      <w:r>
        <w:rPr>
          <w:rFonts w:hint="eastAsia"/>
          <w:color w:val="auto"/>
        </w:rPr>
        <w:t>试验场地应足够大，以容纳移动壁障驱动系统、被撞车碰撞后移动和试验设备的安装。车辆发生碰撞和移动的场地应水平、平整，路面摩擦系数不小于</w:t>
      </w:r>
      <w:r>
        <w:rPr>
          <w:color w:val="auto"/>
        </w:rPr>
        <w:t>0.5。</w:t>
      </w:r>
    </w:p>
    <w:p>
      <w:pPr>
        <w:pStyle w:val="104"/>
        <w:spacing w:before="312" w:after="312"/>
        <w:ind w:left="0"/>
        <w:rPr>
          <w:rFonts w:ascii="Times New Roman"/>
          <w:color w:val="auto"/>
        </w:rPr>
      </w:pPr>
      <w:r>
        <w:rPr>
          <w:rFonts w:hint="eastAsia" w:ascii="Times New Roman"/>
          <w:color w:val="auto"/>
        </w:rPr>
        <w:t>试验前的车辆准备</w:t>
      </w:r>
    </w:p>
    <w:p>
      <w:pPr>
        <w:pStyle w:val="105"/>
        <w:numPr>
          <w:ilvl w:val="0"/>
          <w:numId w:val="0"/>
        </w:numPr>
        <w:tabs>
          <w:tab w:val="clear" w:pos="0"/>
          <w:tab w:val="clear" w:pos="839"/>
        </w:tabs>
        <w:spacing w:beforeLines="0" w:afterLines="0"/>
        <w:rPr>
          <w:rFonts w:ascii="Times New Roman" w:eastAsia="宋体"/>
          <w:color w:val="auto"/>
          <w:kern w:val="2"/>
          <w:szCs w:val="24"/>
        </w:rPr>
      </w:pPr>
      <w:r>
        <w:rPr>
          <w:rFonts w:ascii="Times New Roman" w:eastAsia="宋体"/>
          <w:color w:val="auto"/>
          <w:kern w:val="2"/>
          <w:szCs w:val="24"/>
        </w:rPr>
        <w:t xml:space="preserve">C.2.1 </w:t>
      </w:r>
      <w:r>
        <w:rPr>
          <w:rFonts w:hint="eastAsia" w:ascii="Times New Roman" w:eastAsia="宋体"/>
          <w:color w:val="auto"/>
          <w:kern w:val="2"/>
          <w:szCs w:val="24"/>
        </w:rPr>
        <w:t>可充电储能系统荷电量</w:t>
      </w:r>
      <w:r>
        <w:rPr>
          <w:rFonts w:hint="eastAsia" w:asciiTheme="minorEastAsia" w:hAnsiTheme="minorEastAsia" w:eastAsiaTheme="minorEastAsia"/>
          <w:color w:val="auto"/>
          <w:kern w:val="2"/>
          <w:szCs w:val="24"/>
        </w:rPr>
        <w:t>（</w:t>
      </w:r>
      <w:r>
        <w:rPr>
          <w:rFonts w:asciiTheme="minorEastAsia" w:hAnsiTheme="minorEastAsia" w:eastAsiaTheme="minorEastAsia"/>
          <w:color w:val="auto"/>
          <w:kern w:val="2"/>
          <w:szCs w:val="24"/>
        </w:rPr>
        <w:t>SOC）30%</w:t>
      </w:r>
      <w:r>
        <w:rPr>
          <w:rFonts w:hint="eastAsia" w:asciiTheme="minorEastAsia" w:hAnsiTheme="minorEastAsia" w:eastAsiaTheme="minorEastAsia"/>
          <w:color w:val="auto"/>
          <w:kern w:val="2"/>
          <w:szCs w:val="24"/>
        </w:rPr>
        <w:t>～</w:t>
      </w:r>
      <w:r>
        <w:rPr>
          <w:rFonts w:asciiTheme="minorEastAsia" w:hAnsiTheme="minorEastAsia" w:eastAsiaTheme="minorEastAsia"/>
          <w:color w:val="auto"/>
          <w:kern w:val="2"/>
          <w:szCs w:val="24"/>
        </w:rPr>
        <w:t>50%</w:t>
      </w:r>
      <w:r>
        <w:rPr>
          <w:rFonts w:ascii="Times New Roman" w:eastAsia="宋体"/>
          <w:color w:val="auto"/>
          <w:kern w:val="2"/>
          <w:szCs w:val="24"/>
        </w:rPr>
        <w:t>且处于上电状态</w:t>
      </w:r>
      <w:r>
        <w:rPr>
          <w:rFonts w:hint="eastAsia" w:ascii="Times New Roman" w:eastAsia="宋体"/>
          <w:color w:val="auto"/>
          <w:kern w:val="2"/>
          <w:szCs w:val="24"/>
        </w:rPr>
        <w:t>。</w:t>
      </w:r>
    </w:p>
    <w:p>
      <w:pPr>
        <w:pStyle w:val="105"/>
        <w:numPr>
          <w:ilvl w:val="0"/>
          <w:numId w:val="0"/>
        </w:numPr>
        <w:tabs>
          <w:tab w:val="clear" w:pos="0"/>
          <w:tab w:val="clear" w:pos="839"/>
        </w:tabs>
        <w:spacing w:beforeLines="0" w:afterLines="0"/>
        <w:rPr>
          <w:rFonts w:ascii="Times New Roman" w:eastAsia="宋体"/>
          <w:color w:val="auto"/>
          <w:kern w:val="2"/>
          <w:szCs w:val="24"/>
        </w:rPr>
      </w:pPr>
      <w:r>
        <w:rPr>
          <w:rFonts w:ascii="Times New Roman" w:eastAsia="宋体"/>
          <w:color w:val="auto"/>
          <w:kern w:val="2"/>
          <w:szCs w:val="24"/>
        </w:rPr>
        <w:t xml:space="preserve">C.2.4 </w:t>
      </w:r>
      <w:r>
        <w:rPr>
          <w:rFonts w:hint="eastAsia" w:ascii="Times New Roman" w:eastAsia="宋体"/>
          <w:color w:val="auto"/>
          <w:kern w:val="2"/>
          <w:szCs w:val="24"/>
        </w:rPr>
        <w:t>试验车辆应为整备质量状态。</w:t>
      </w:r>
    </w:p>
    <w:p>
      <w:pPr>
        <w:pStyle w:val="105"/>
        <w:numPr>
          <w:ilvl w:val="0"/>
          <w:numId w:val="0"/>
        </w:numPr>
        <w:tabs>
          <w:tab w:val="clear" w:pos="0"/>
          <w:tab w:val="clear" w:pos="839"/>
        </w:tabs>
        <w:spacing w:beforeLines="0" w:afterLines="0"/>
        <w:rPr>
          <w:rFonts w:ascii="Times New Roman" w:eastAsia="宋体"/>
          <w:color w:val="auto"/>
          <w:kern w:val="2"/>
          <w:szCs w:val="24"/>
        </w:rPr>
      </w:pPr>
      <w:r>
        <w:rPr>
          <w:rFonts w:ascii="Times New Roman" w:eastAsia="宋体"/>
          <w:color w:val="auto"/>
          <w:kern w:val="2"/>
          <w:szCs w:val="24"/>
        </w:rPr>
        <w:t xml:space="preserve">C.2.5 </w:t>
      </w:r>
      <w:r>
        <w:rPr>
          <w:rFonts w:hint="eastAsia" w:ascii="Times New Roman" w:eastAsia="宋体"/>
          <w:color w:val="auto"/>
          <w:kern w:val="2"/>
          <w:szCs w:val="24"/>
        </w:rPr>
        <w:t>车窗应为关闭状态，车门处于关闭但不锁止状态。</w:t>
      </w:r>
    </w:p>
    <w:p>
      <w:pPr>
        <w:pStyle w:val="105"/>
        <w:numPr>
          <w:ilvl w:val="0"/>
          <w:numId w:val="0"/>
        </w:numPr>
        <w:tabs>
          <w:tab w:val="clear" w:pos="0"/>
          <w:tab w:val="clear" w:pos="839"/>
        </w:tabs>
        <w:spacing w:beforeLines="0" w:afterLines="0"/>
        <w:rPr>
          <w:rFonts w:ascii="Times New Roman" w:eastAsia="宋体"/>
          <w:color w:val="auto"/>
          <w:kern w:val="2"/>
          <w:szCs w:val="24"/>
        </w:rPr>
      </w:pPr>
      <w:r>
        <w:rPr>
          <w:rFonts w:ascii="Times New Roman" w:eastAsia="宋体"/>
          <w:color w:val="auto"/>
          <w:kern w:val="2"/>
          <w:szCs w:val="24"/>
        </w:rPr>
        <w:t xml:space="preserve">C.2.6 </w:t>
      </w:r>
      <w:r>
        <w:rPr>
          <w:rFonts w:hint="eastAsia" w:ascii="Times New Roman" w:eastAsia="宋体"/>
          <w:color w:val="auto"/>
          <w:kern w:val="2"/>
          <w:szCs w:val="24"/>
        </w:rPr>
        <w:t>档位应处于空挡状态，驻车制动器松开。</w:t>
      </w:r>
    </w:p>
    <w:p>
      <w:pPr>
        <w:pStyle w:val="105"/>
        <w:numPr>
          <w:ilvl w:val="0"/>
          <w:numId w:val="0"/>
        </w:numPr>
        <w:tabs>
          <w:tab w:val="clear" w:pos="0"/>
          <w:tab w:val="clear" w:pos="839"/>
        </w:tabs>
        <w:spacing w:beforeLines="0" w:afterLines="0"/>
        <w:rPr>
          <w:rFonts w:ascii="Times New Roman" w:eastAsia="宋体"/>
          <w:color w:val="auto"/>
          <w:kern w:val="2"/>
          <w:szCs w:val="24"/>
        </w:rPr>
      </w:pPr>
      <w:r>
        <w:rPr>
          <w:rFonts w:ascii="Times New Roman" w:eastAsia="宋体"/>
          <w:color w:val="auto"/>
          <w:kern w:val="2"/>
          <w:szCs w:val="24"/>
        </w:rPr>
        <w:t xml:space="preserve">C.2.7 </w:t>
      </w:r>
      <w:r>
        <w:rPr>
          <w:rFonts w:hint="eastAsia" w:ascii="Times New Roman" w:eastAsia="宋体"/>
          <w:color w:val="auto"/>
          <w:kern w:val="2"/>
          <w:szCs w:val="24"/>
        </w:rPr>
        <w:t>轮胎气压应调整到制造商规定的气压值。</w:t>
      </w:r>
    </w:p>
    <w:p>
      <w:pPr>
        <w:pStyle w:val="105"/>
        <w:numPr>
          <w:ilvl w:val="0"/>
          <w:numId w:val="0"/>
        </w:numPr>
        <w:tabs>
          <w:tab w:val="clear" w:pos="0"/>
          <w:tab w:val="clear" w:pos="839"/>
        </w:tabs>
        <w:spacing w:beforeLines="0" w:afterLines="0"/>
        <w:rPr>
          <w:rFonts w:ascii="Times New Roman" w:eastAsia="宋体"/>
          <w:color w:val="auto"/>
          <w:kern w:val="2"/>
          <w:szCs w:val="24"/>
        </w:rPr>
      </w:pPr>
      <w:r>
        <w:rPr>
          <w:rFonts w:ascii="Times New Roman" w:eastAsia="宋体"/>
          <w:color w:val="auto"/>
          <w:kern w:val="2"/>
          <w:szCs w:val="24"/>
        </w:rPr>
        <w:t xml:space="preserve">C.2.8 </w:t>
      </w:r>
      <w:r>
        <w:rPr>
          <w:rFonts w:hint="eastAsia" w:ascii="Times New Roman" w:eastAsia="宋体"/>
          <w:color w:val="auto"/>
          <w:kern w:val="2"/>
          <w:szCs w:val="24"/>
        </w:rPr>
        <w:t>试验车辆放置应保证车轴处于水平。</w:t>
      </w:r>
    </w:p>
    <w:p>
      <w:pPr>
        <w:pStyle w:val="104"/>
        <w:spacing w:before="312" w:after="312"/>
        <w:ind w:left="0"/>
        <w:rPr>
          <w:rFonts w:ascii="Times New Roman"/>
          <w:color w:val="auto"/>
        </w:rPr>
      </w:pPr>
      <w:r>
        <w:rPr>
          <w:rFonts w:hint="eastAsia" w:ascii="Times New Roman"/>
          <w:color w:val="auto"/>
        </w:rPr>
        <w:t>试验条件</w:t>
      </w:r>
    </w:p>
    <w:p>
      <w:pPr>
        <w:pStyle w:val="105"/>
        <w:numPr>
          <w:ilvl w:val="0"/>
          <w:numId w:val="0"/>
        </w:numPr>
        <w:tabs>
          <w:tab w:val="clear" w:pos="0"/>
          <w:tab w:val="clear" w:pos="839"/>
        </w:tabs>
        <w:spacing w:beforeLines="0" w:afterLines="0"/>
        <w:rPr>
          <w:rFonts w:asciiTheme="minorEastAsia" w:hAnsiTheme="minorEastAsia" w:eastAsiaTheme="minorEastAsia"/>
          <w:color w:val="auto"/>
          <w:kern w:val="2"/>
          <w:szCs w:val="24"/>
        </w:rPr>
      </w:pPr>
      <w:r>
        <w:rPr>
          <w:rFonts w:asciiTheme="minorEastAsia" w:hAnsiTheme="minorEastAsia" w:eastAsiaTheme="minorEastAsia"/>
          <w:color w:val="auto"/>
          <w:kern w:val="2"/>
          <w:szCs w:val="24"/>
        </w:rPr>
        <w:t xml:space="preserve">C.3.1 </w:t>
      </w:r>
      <w:r>
        <w:rPr>
          <w:rFonts w:hint="eastAsia" w:asciiTheme="minorEastAsia" w:hAnsiTheme="minorEastAsia" w:eastAsiaTheme="minorEastAsia"/>
          <w:color w:val="auto"/>
          <w:kern w:val="2"/>
          <w:szCs w:val="24"/>
        </w:rPr>
        <w:t>试验车辆应保持静止。</w:t>
      </w:r>
    </w:p>
    <w:p>
      <w:pPr>
        <w:pStyle w:val="105"/>
        <w:numPr>
          <w:ilvl w:val="0"/>
          <w:numId w:val="0"/>
        </w:numPr>
        <w:tabs>
          <w:tab w:val="clear" w:pos="0"/>
          <w:tab w:val="clear" w:pos="839"/>
        </w:tabs>
        <w:spacing w:beforeLines="0" w:afterLines="0"/>
        <w:rPr>
          <w:rFonts w:asciiTheme="minorEastAsia" w:hAnsiTheme="minorEastAsia" w:eastAsiaTheme="minorEastAsia"/>
          <w:color w:val="auto"/>
          <w:kern w:val="2"/>
          <w:szCs w:val="24"/>
        </w:rPr>
      </w:pPr>
      <w:r>
        <w:rPr>
          <w:rFonts w:asciiTheme="minorEastAsia" w:hAnsiTheme="minorEastAsia" w:eastAsiaTheme="minorEastAsia"/>
          <w:color w:val="auto"/>
          <w:kern w:val="2"/>
          <w:szCs w:val="24"/>
        </w:rPr>
        <w:t xml:space="preserve">C.3.2 </w:t>
      </w:r>
      <w:r>
        <w:rPr>
          <w:rFonts w:hint="eastAsia" w:asciiTheme="minorEastAsia" w:hAnsiTheme="minorEastAsia" w:eastAsiaTheme="minorEastAsia"/>
          <w:color w:val="auto"/>
          <w:kern w:val="2"/>
          <w:szCs w:val="24"/>
        </w:rPr>
        <w:t>移动变形壁障的特性应符合</w:t>
      </w:r>
      <w:r>
        <w:rPr>
          <w:rFonts w:asciiTheme="minorEastAsia" w:hAnsiTheme="minorEastAsia" w:eastAsiaTheme="minorEastAsia"/>
          <w:color w:val="auto"/>
          <w:kern w:val="2"/>
          <w:szCs w:val="24"/>
        </w:rPr>
        <w:t>GB 20071—2006附录C规定的特性。移动变形壁障上应装有适当装置，以避免与试验车发生二次碰撞。</w:t>
      </w:r>
    </w:p>
    <w:p>
      <w:pPr>
        <w:pStyle w:val="105"/>
        <w:numPr>
          <w:ilvl w:val="0"/>
          <w:numId w:val="0"/>
        </w:numPr>
        <w:tabs>
          <w:tab w:val="clear" w:pos="0"/>
          <w:tab w:val="clear" w:pos="839"/>
        </w:tabs>
        <w:spacing w:beforeLines="0" w:afterLines="0"/>
        <w:rPr>
          <w:rFonts w:asciiTheme="minorEastAsia" w:hAnsiTheme="minorEastAsia" w:eastAsiaTheme="minorEastAsia"/>
          <w:color w:val="auto"/>
          <w:kern w:val="2"/>
          <w:szCs w:val="24"/>
        </w:rPr>
      </w:pPr>
      <w:r>
        <w:rPr>
          <w:rFonts w:asciiTheme="minorEastAsia" w:hAnsiTheme="minorEastAsia" w:eastAsiaTheme="minorEastAsia"/>
          <w:color w:val="auto"/>
          <w:kern w:val="2"/>
          <w:szCs w:val="24"/>
        </w:rPr>
        <w:t xml:space="preserve">C.3.3 </w:t>
      </w:r>
      <w:r>
        <w:rPr>
          <w:rFonts w:hint="eastAsia" w:asciiTheme="minorEastAsia" w:hAnsiTheme="minorEastAsia" w:eastAsiaTheme="minorEastAsia"/>
          <w:color w:val="auto"/>
          <w:kern w:val="2"/>
          <w:szCs w:val="24"/>
        </w:rPr>
        <w:t>试验时，移动变形壁障撞击试验车辆的最薄弱位置（最薄弱位置</w:t>
      </w:r>
      <w:r>
        <w:rPr>
          <w:rFonts w:hint="eastAsia" w:asciiTheme="minorEastAsia" w:hAnsiTheme="minorEastAsia" w:eastAsiaTheme="minorEastAsia"/>
          <w:color w:val="auto"/>
          <w:kern w:val="2"/>
          <w:szCs w:val="24"/>
          <w:lang w:eastAsia="zh-CN"/>
        </w:rPr>
        <w:t>主要考虑动力电池安装及整车防护条件，如车辆侧面安装有动力电池，则优先选择车辆侧面进行碰撞。具体</w:t>
      </w:r>
      <w:r>
        <w:rPr>
          <w:rFonts w:hint="eastAsia" w:asciiTheme="minorEastAsia" w:hAnsiTheme="minorEastAsia" w:eastAsiaTheme="minorEastAsia"/>
          <w:color w:val="auto"/>
          <w:kern w:val="2"/>
          <w:szCs w:val="24"/>
        </w:rPr>
        <w:t>由检测机构商生产企业确定）。</w:t>
      </w:r>
    </w:p>
    <w:p>
      <w:pPr>
        <w:pStyle w:val="105"/>
        <w:numPr>
          <w:ilvl w:val="0"/>
          <w:numId w:val="0"/>
        </w:numPr>
        <w:tabs>
          <w:tab w:val="clear" w:pos="0"/>
          <w:tab w:val="clear" w:pos="839"/>
        </w:tabs>
        <w:spacing w:beforeLines="0" w:afterLines="0"/>
        <w:rPr>
          <w:rFonts w:asciiTheme="minorEastAsia" w:hAnsiTheme="minorEastAsia" w:eastAsiaTheme="minorEastAsia"/>
          <w:color w:val="auto"/>
          <w:kern w:val="2"/>
          <w:szCs w:val="24"/>
        </w:rPr>
      </w:pPr>
      <w:r>
        <w:rPr>
          <w:rFonts w:asciiTheme="minorEastAsia" w:hAnsiTheme="minorEastAsia" w:eastAsiaTheme="minorEastAsia"/>
          <w:color w:val="auto"/>
          <w:kern w:val="2"/>
          <w:szCs w:val="24"/>
        </w:rPr>
        <w:t xml:space="preserve">C.3.4 </w:t>
      </w:r>
      <w:r>
        <w:rPr>
          <w:rFonts w:hint="eastAsia" w:asciiTheme="minorEastAsia" w:hAnsiTheme="minorEastAsia" w:eastAsiaTheme="minorEastAsia"/>
          <w:color w:val="auto"/>
          <w:kern w:val="2"/>
          <w:szCs w:val="24"/>
        </w:rPr>
        <w:t>移动变形壁障的纵向中垂面轨迹应垂直于被撞车辆的纵向中垂面。</w:t>
      </w:r>
    </w:p>
    <w:p>
      <w:pPr>
        <w:pStyle w:val="105"/>
        <w:numPr>
          <w:ilvl w:val="0"/>
          <w:numId w:val="0"/>
        </w:numPr>
        <w:tabs>
          <w:tab w:val="clear" w:pos="0"/>
          <w:tab w:val="clear" w:pos="839"/>
        </w:tabs>
        <w:spacing w:beforeLines="0" w:afterLines="0"/>
        <w:rPr>
          <w:rFonts w:asciiTheme="minorEastAsia" w:hAnsiTheme="minorEastAsia" w:eastAsiaTheme="minorEastAsia"/>
          <w:color w:val="auto"/>
          <w:kern w:val="2"/>
          <w:szCs w:val="24"/>
        </w:rPr>
      </w:pPr>
      <w:r>
        <w:rPr>
          <w:rFonts w:asciiTheme="minorEastAsia" w:hAnsiTheme="minorEastAsia" w:eastAsiaTheme="minorEastAsia"/>
          <w:color w:val="auto"/>
          <w:kern w:val="2"/>
          <w:szCs w:val="24"/>
        </w:rPr>
        <w:t xml:space="preserve">C.3.5 </w:t>
      </w:r>
      <w:r>
        <w:rPr>
          <w:rFonts w:hint="eastAsia" w:asciiTheme="minorEastAsia" w:hAnsiTheme="minorEastAsia" w:eastAsiaTheme="minorEastAsia"/>
          <w:color w:val="auto"/>
          <w:kern w:val="2"/>
          <w:szCs w:val="24"/>
        </w:rPr>
        <w:t>在碰撞瞬间，应确保由变形壁障前表面上边缘和下边缘限定的水平中间平面与试验前确定的位置的上下偏差在±</w:t>
      </w:r>
      <w:r>
        <w:rPr>
          <w:rFonts w:asciiTheme="minorEastAsia" w:hAnsiTheme="minorEastAsia" w:eastAsiaTheme="minorEastAsia"/>
          <w:color w:val="auto"/>
          <w:kern w:val="2"/>
          <w:szCs w:val="24"/>
        </w:rPr>
        <w:t>25mm内</w:t>
      </w:r>
      <w:r>
        <w:rPr>
          <w:rFonts w:hint="eastAsia" w:asciiTheme="minorEastAsia" w:hAnsiTheme="minorEastAsia" w:eastAsiaTheme="minorEastAsia"/>
          <w:color w:val="auto"/>
          <w:kern w:val="2"/>
          <w:szCs w:val="24"/>
        </w:rPr>
        <w:t>。</w:t>
      </w:r>
    </w:p>
    <w:p>
      <w:pPr>
        <w:pStyle w:val="105"/>
        <w:numPr>
          <w:ilvl w:val="0"/>
          <w:numId w:val="0"/>
        </w:numPr>
        <w:tabs>
          <w:tab w:val="clear" w:pos="0"/>
          <w:tab w:val="clear" w:pos="839"/>
        </w:tabs>
        <w:spacing w:beforeLines="0" w:afterLines="0"/>
        <w:rPr>
          <w:rFonts w:asciiTheme="minorEastAsia" w:hAnsiTheme="minorEastAsia" w:eastAsiaTheme="minorEastAsia"/>
          <w:color w:val="auto"/>
          <w:kern w:val="2"/>
          <w:szCs w:val="24"/>
        </w:rPr>
      </w:pPr>
      <w:r>
        <w:rPr>
          <w:rFonts w:asciiTheme="minorEastAsia" w:hAnsiTheme="minorEastAsia" w:eastAsiaTheme="minorEastAsia"/>
          <w:color w:val="auto"/>
          <w:kern w:val="2"/>
          <w:szCs w:val="24"/>
        </w:rPr>
        <w:t xml:space="preserve">C.3.6 </w:t>
      </w:r>
      <w:r>
        <w:rPr>
          <w:rFonts w:hint="eastAsia" w:asciiTheme="minorEastAsia" w:hAnsiTheme="minorEastAsia" w:eastAsiaTheme="minorEastAsia"/>
          <w:color w:val="auto"/>
          <w:kern w:val="2"/>
          <w:szCs w:val="24"/>
        </w:rPr>
        <w:t>在碰撞瞬间，应确保由变形壁障前表面左边缘和右边缘限定的垂直中间平面与试验前确定的位置的左右偏差在±</w:t>
      </w:r>
      <w:r>
        <w:rPr>
          <w:rFonts w:asciiTheme="minorEastAsia" w:hAnsiTheme="minorEastAsia" w:eastAsiaTheme="minorEastAsia"/>
          <w:color w:val="auto"/>
          <w:kern w:val="2"/>
          <w:szCs w:val="24"/>
        </w:rPr>
        <w:t>25mm内</w:t>
      </w:r>
      <w:r>
        <w:rPr>
          <w:rFonts w:hint="eastAsia" w:asciiTheme="minorEastAsia" w:hAnsiTheme="minorEastAsia" w:eastAsiaTheme="minorEastAsia"/>
          <w:color w:val="auto"/>
          <w:kern w:val="2"/>
          <w:szCs w:val="24"/>
        </w:rPr>
        <w:t>。</w:t>
      </w:r>
    </w:p>
    <w:p>
      <w:pPr>
        <w:pStyle w:val="105"/>
        <w:numPr>
          <w:ilvl w:val="0"/>
          <w:numId w:val="0"/>
        </w:numPr>
        <w:tabs>
          <w:tab w:val="clear" w:pos="0"/>
          <w:tab w:val="clear" w:pos="839"/>
        </w:tabs>
        <w:spacing w:beforeLines="0" w:afterLines="0"/>
        <w:rPr>
          <w:rFonts w:asciiTheme="minorEastAsia" w:hAnsiTheme="minorEastAsia" w:eastAsiaTheme="minorEastAsia"/>
          <w:color w:val="auto"/>
          <w:kern w:val="2"/>
          <w:szCs w:val="24"/>
        </w:rPr>
      </w:pPr>
      <w:r>
        <w:rPr>
          <w:rFonts w:asciiTheme="minorEastAsia" w:hAnsiTheme="minorEastAsia" w:eastAsiaTheme="minorEastAsia"/>
          <w:color w:val="auto"/>
          <w:kern w:val="2"/>
          <w:szCs w:val="24"/>
        </w:rPr>
        <w:t xml:space="preserve">C.3.7 </w:t>
      </w:r>
      <w:r>
        <w:rPr>
          <w:rFonts w:hint="eastAsia" w:asciiTheme="minorEastAsia" w:hAnsiTheme="minorEastAsia" w:eastAsiaTheme="minorEastAsia"/>
          <w:color w:val="auto"/>
          <w:kern w:val="2"/>
          <w:szCs w:val="24"/>
        </w:rPr>
        <w:t>除非本文件有特殊规定，仪器应符合</w:t>
      </w:r>
      <w:r>
        <w:rPr>
          <w:rFonts w:asciiTheme="minorEastAsia" w:hAnsiTheme="minorEastAsia" w:eastAsiaTheme="minorEastAsia"/>
          <w:color w:val="auto"/>
          <w:kern w:val="2"/>
          <w:szCs w:val="24"/>
        </w:rPr>
        <w:t>ISO</w:t>
      </w:r>
      <w:r>
        <w:rPr>
          <w:rFonts w:hint="eastAsia" w:asciiTheme="minorEastAsia" w:hAnsiTheme="minorEastAsia" w:eastAsiaTheme="minorEastAsia"/>
          <w:color w:val="auto"/>
          <w:kern w:val="2"/>
          <w:szCs w:val="24"/>
        </w:rPr>
        <w:t xml:space="preserve"> </w:t>
      </w:r>
      <w:r>
        <w:rPr>
          <w:rFonts w:asciiTheme="minorEastAsia" w:hAnsiTheme="minorEastAsia" w:eastAsiaTheme="minorEastAsia"/>
          <w:color w:val="auto"/>
          <w:kern w:val="2"/>
          <w:szCs w:val="24"/>
        </w:rPr>
        <w:t>6487的规定。</w:t>
      </w:r>
    </w:p>
    <w:p>
      <w:pPr>
        <w:pStyle w:val="104"/>
        <w:spacing w:before="312" w:after="312"/>
        <w:ind w:left="0"/>
        <w:rPr>
          <w:rFonts w:ascii="Times New Roman"/>
          <w:color w:val="auto"/>
        </w:rPr>
      </w:pPr>
      <w:r>
        <w:rPr>
          <w:rFonts w:hint="eastAsia" w:ascii="Times New Roman"/>
          <w:color w:val="auto"/>
        </w:rPr>
        <w:t>试验速度</w:t>
      </w:r>
    </w:p>
    <w:p>
      <w:pPr>
        <w:ind w:firstLine="420" w:firstLineChars="200"/>
        <w:outlineLvl w:val="1"/>
        <w:rPr>
          <w:rFonts w:asciiTheme="minorEastAsia" w:hAnsiTheme="minorEastAsia" w:eastAsiaTheme="minorEastAsia"/>
          <w:color w:val="auto"/>
        </w:rPr>
      </w:pPr>
      <w:r>
        <w:rPr>
          <w:rFonts w:hint="eastAsia" w:asciiTheme="minorEastAsia" w:hAnsiTheme="minorEastAsia" w:eastAsiaTheme="minorEastAsia"/>
          <w:color w:val="auto"/>
        </w:rPr>
        <w:t>在碰撞瞬间，移动变形壁障的速度应为</w:t>
      </w:r>
      <w:r>
        <w:rPr>
          <w:rFonts w:asciiTheme="minorEastAsia" w:hAnsiTheme="minorEastAsia" w:eastAsiaTheme="minorEastAsia"/>
          <w:color w:val="auto"/>
        </w:rPr>
        <w:t>50km/h</w:t>
      </w:r>
      <w:r>
        <w:rPr>
          <w:rFonts w:hint="eastAsia" w:asciiTheme="minorEastAsia" w:hAnsiTheme="minorEastAsia" w:eastAsiaTheme="minorEastAsia"/>
          <w:color w:val="auto"/>
        </w:rPr>
        <w:t>±</w:t>
      </w:r>
      <w:r>
        <w:rPr>
          <w:rFonts w:asciiTheme="minorEastAsia" w:hAnsiTheme="minorEastAsia" w:eastAsiaTheme="minorEastAsia"/>
          <w:color w:val="auto"/>
        </w:rPr>
        <w:t>1km/h</w:t>
      </w:r>
      <w:r>
        <w:rPr>
          <w:rFonts w:hint="eastAsia" w:asciiTheme="minorEastAsia" w:hAnsiTheme="minorEastAsia" w:eastAsiaTheme="minorEastAsia"/>
          <w:color w:val="auto"/>
        </w:rPr>
        <w:t>，并且该速度至少在碰撞前</w:t>
      </w:r>
      <w:r>
        <w:rPr>
          <w:rFonts w:asciiTheme="minorEastAsia" w:hAnsiTheme="minorEastAsia" w:eastAsiaTheme="minorEastAsia"/>
          <w:color w:val="auto"/>
        </w:rPr>
        <w:t>0.5m</w:t>
      </w:r>
      <w:r>
        <w:rPr>
          <w:rFonts w:hint="eastAsia" w:asciiTheme="minorEastAsia" w:hAnsiTheme="minorEastAsia" w:eastAsiaTheme="minorEastAsia"/>
          <w:color w:val="auto"/>
        </w:rPr>
        <w:t>内保持稳定。测量仪器的准确度为</w:t>
      </w:r>
      <w:r>
        <w:rPr>
          <w:rFonts w:asciiTheme="minorEastAsia" w:hAnsiTheme="minorEastAsia" w:eastAsiaTheme="minorEastAsia"/>
          <w:color w:val="auto"/>
        </w:rPr>
        <w:t>1%</w:t>
      </w:r>
      <w:r>
        <w:rPr>
          <w:rFonts w:hint="eastAsia" w:asciiTheme="minorEastAsia" w:hAnsiTheme="minorEastAsia" w:eastAsiaTheme="minorEastAsia"/>
          <w:color w:val="auto"/>
        </w:rPr>
        <w:t>。如果试验在更高的碰撞速度下进行，且车辆符合本文件</w:t>
      </w:r>
      <w:r>
        <w:rPr>
          <w:rFonts w:asciiTheme="minorEastAsia" w:hAnsiTheme="minorEastAsia" w:eastAsiaTheme="minorEastAsia"/>
          <w:color w:val="auto"/>
        </w:rPr>
        <w:t>4.8.2</w:t>
      </w:r>
      <w:r>
        <w:rPr>
          <w:rFonts w:hint="eastAsia" w:asciiTheme="minorEastAsia" w:hAnsiTheme="minorEastAsia" w:eastAsiaTheme="minorEastAsia"/>
          <w:color w:val="auto"/>
        </w:rPr>
        <w:t>的要求，也认为合格。</w:t>
      </w:r>
    </w:p>
    <w:p>
      <w:pPr>
        <w:pStyle w:val="130"/>
        <w:rPr>
          <w:color w:val="auto"/>
        </w:rPr>
      </w:pPr>
      <w:r>
        <w:rPr>
          <w:color w:val="auto"/>
        </w:rPr>
        <w:t>_________________________________</w:t>
      </w:r>
    </w:p>
    <w:sectPr>
      <w:pgSz w:w="11906" w:h="16838"/>
      <w:pgMar w:top="567" w:right="1134" w:bottom="1134" w:left="1418" w:header="1418" w:footer="1134" w:gutter="0"/>
      <w:pgNumType w:fmt="decimal"/>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Century Gothic"/>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Century Gothic"/>
    <w:panose1 w:val="020F0502020204030204"/>
    <w:charset w:val="00"/>
    <w:family w:val="roman"/>
    <w:pitch w:val="default"/>
    <w:sig w:usb0="00000000" w:usb1="00000000" w:usb2="00000001" w:usb3="00000000" w:csb0="0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Century Gothic"/>
    <w:panose1 w:val="020F0502020204030204"/>
    <w:charset w:val="00"/>
    <w:family w:val="modern"/>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黑体">
    <w:panose1 w:val="02010600030101010101"/>
    <w:charset w:val="86"/>
    <w:family w:val="decorative"/>
    <w:pitch w:val="default"/>
    <w:sig w:usb0="00000001" w:usb1="080E0000" w:usb2="00000000" w:usb3="00000000" w:csb0="00040000" w:csb1="00000000"/>
  </w:font>
  <w:font w:name="Arial">
    <w:panose1 w:val="020B0604020202020204"/>
    <w:charset w:val="00"/>
    <w:family w:val="roman"/>
    <w:pitch w:val="default"/>
    <w:sig w:usb0="00007A87" w:usb1="80000000" w:usb2="00000008" w:usb3="00000000" w:csb0="400001FF" w:csb1="FFFF0000"/>
  </w:font>
  <w:font w:name="Courier New">
    <w:panose1 w:val="02070309020205020404"/>
    <w:charset w:val="00"/>
    <w:family w:val="decorative"/>
    <w:pitch w:val="default"/>
    <w:sig w:usb0="00007A87" w:usb1="80000000" w:usb2="00000008" w:usb3="00000000" w:csb0="400001FF" w:csb1="FFFF0000"/>
  </w:font>
  <w:font w:name="Century Gothic">
    <w:panose1 w:val="020B0502020202020204"/>
    <w:charset w:val="00"/>
    <w:family w:val="roman"/>
    <w:pitch w:val="default"/>
    <w:sig w:usb0="00000287" w:usb1="00000000" w:usb2="00000000" w:usb3="00000000" w:csb0="2000009F" w:csb1="DFD70000"/>
  </w:font>
  <w:font w:name="Century Gothic">
    <w:panose1 w:val="020B0502020202020204"/>
    <w:charset w:val="00"/>
    <w:family w:val="decorative"/>
    <w:pitch w:val="default"/>
    <w:sig w:usb0="00000287" w:usb1="00000000" w:usb2="00000000" w:usb3="00000000" w:csb0="2000009F" w:csb1="DFD70000"/>
  </w:font>
  <w:font w:name="黑体">
    <w:panose1 w:val="02010600030101010101"/>
    <w:charset w:val="86"/>
    <w:family w:val="roman"/>
    <w:pitch w:val="default"/>
    <w:sig w:usb0="00000001" w:usb1="080E0000" w:usb2="00000000" w:usb3="00000000" w:csb0="00040000" w:csb1="00000000"/>
  </w:font>
  <w:font w:name="Arial">
    <w:panose1 w:val="020B0604020202020204"/>
    <w:charset w:val="00"/>
    <w:family w:val="modern"/>
    <w:pitch w:val="default"/>
    <w:sig w:usb0="00007A87" w:usb1="80000000" w:usb2="00000008" w:usb3="00000000" w:csb0="400001FF" w:csb1="FFFF0000"/>
  </w:font>
  <w:font w:name="Courier New">
    <w:panose1 w:val="02070309020205020404"/>
    <w:charset w:val="00"/>
    <w:family w:val="roman"/>
    <w:pitch w:val="default"/>
    <w:sig w:usb0="00007A87" w:usb1="80000000" w:usb2="00000008" w:usb3="00000000" w:csb0="400001FF" w:csb1="FFFF0000"/>
  </w:font>
  <w:font w:name="Century Gothic">
    <w:panose1 w:val="020B0502020202020204"/>
    <w:charset w:val="00"/>
    <w:family w:val="modern"/>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Century Gothic">
    <w:panose1 w:val="020B0502020202020204"/>
    <w:charset w:val="00"/>
    <w:family w:val="decorative"/>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7"/>
      <w:jc w:val="center"/>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4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35796429">
    <w:nsid w:val="6D6C07CD"/>
    <w:multiLevelType w:val="multilevel"/>
    <w:tmpl w:val="6D6C07CD"/>
    <w:lvl w:ilvl="0" w:tentative="1">
      <w:start w:val="1"/>
      <w:numFmt w:val="lowerLetter"/>
      <w:pStyle w:val="107"/>
      <w:lvlText w:val="%1)"/>
      <w:lvlJc w:val="left"/>
      <w:pPr>
        <w:tabs>
          <w:tab w:val="left" w:pos="839"/>
        </w:tabs>
        <w:ind w:left="839" w:hanging="419"/>
      </w:pPr>
      <w:rPr>
        <w:rFonts w:hint="eastAsia" w:ascii="宋体" w:eastAsia="宋体"/>
        <w:b w:val="0"/>
        <w:i w:val="0"/>
        <w:sz w:val="21"/>
      </w:rPr>
    </w:lvl>
    <w:lvl w:ilvl="1" w:tentative="1">
      <w:start w:val="1"/>
      <w:numFmt w:val="decimal"/>
      <w:pStyle w:val="97"/>
      <w:lvlText w:val="%2)"/>
      <w:lvlJc w:val="left"/>
      <w:pPr>
        <w:tabs>
          <w:tab w:val="left" w:pos="840"/>
        </w:tabs>
        <w:ind w:left="839" w:hanging="419"/>
      </w:pPr>
      <w:rPr>
        <w:rFonts w:hint="eastAsia" w:ascii="宋体" w:eastAsia="宋体"/>
        <w:b w:val="0"/>
        <w:i w:val="0"/>
        <w:sz w:val="21"/>
      </w:rPr>
    </w:lvl>
    <w:lvl w:ilvl="2" w:tentative="1">
      <w:start w:val="1"/>
      <w:numFmt w:val="lowerRoman"/>
      <w:lvlText w:val="%3."/>
      <w:lvlJc w:val="right"/>
      <w:pPr>
        <w:tabs>
          <w:tab w:val="left" w:pos="1260"/>
        </w:tabs>
        <w:ind w:left="1259" w:hanging="419"/>
      </w:pPr>
      <w:rPr>
        <w:rFonts w:hint="eastAsia"/>
      </w:rPr>
    </w:lvl>
    <w:lvl w:ilvl="3" w:tentative="1">
      <w:start w:val="1"/>
      <w:numFmt w:val="decimal"/>
      <w:lvlText w:val="%4."/>
      <w:lvlJc w:val="left"/>
      <w:pPr>
        <w:tabs>
          <w:tab w:val="left" w:pos="1680"/>
        </w:tabs>
        <w:ind w:left="1679" w:hanging="419"/>
      </w:pPr>
      <w:rPr>
        <w:rFonts w:hint="eastAsia"/>
      </w:rPr>
    </w:lvl>
    <w:lvl w:ilvl="4" w:tentative="1">
      <w:start w:val="1"/>
      <w:numFmt w:val="lowerLetter"/>
      <w:lvlText w:val="%5)"/>
      <w:lvlJc w:val="left"/>
      <w:pPr>
        <w:tabs>
          <w:tab w:val="left" w:pos="2100"/>
        </w:tabs>
        <w:ind w:left="2099" w:hanging="419"/>
      </w:pPr>
      <w:rPr>
        <w:rFonts w:hint="eastAsia"/>
      </w:rPr>
    </w:lvl>
    <w:lvl w:ilvl="5" w:tentative="1">
      <w:start w:val="1"/>
      <w:numFmt w:val="lowerRoman"/>
      <w:lvlText w:val="%6."/>
      <w:lvlJc w:val="right"/>
      <w:pPr>
        <w:tabs>
          <w:tab w:val="left" w:pos="2520"/>
        </w:tabs>
        <w:ind w:left="2519" w:hanging="419"/>
      </w:pPr>
      <w:rPr>
        <w:rFonts w:hint="eastAsia"/>
      </w:rPr>
    </w:lvl>
    <w:lvl w:ilvl="6" w:tentative="1">
      <w:start w:val="1"/>
      <w:numFmt w:val="decimal"/>
      <w:lvlText w:val="%7."/>
      <w:lvlJc w:val="left"/>
      <w:pPr>
        <w:tabs>
          <w:tab w:val="left" w:pos="2940"/>
        </w:tabs>
        <w:ind w:left="2939" w:hanging="419"/>
      </w:pPr>
      <w:rPr>
        <w:rFonts w:hint="eastAsia"/>
      </w:rPr>
    </w:lvl>
    <w:lvl w:ilvl="7" w:tentative="1">
      <w:start w:val="1"/>
      <w:numFmt w:val="lowerLetter"/>
      <w:lvlText w:val="%8)"/>
      <w:lvlJc w:val="left"/>
      <w:pPr>
        <w:tabs>
          <w:tab w:val="left" w:pos="3360"/>
        </w:tabs>
        <w:ind w:left="3359" w:hanging="419"/>
      </w:pPr>
      <w:rPr>
        <w:rFonts w:hint="eastAsia"/>
      </w:rPr>
    </w:lvl>
    <w:lvl w:ilvl="8" w:tentative="1">
      <w:start w:val="1"/>
      <w:numFmt w:val="lowerRoman"/>
      <w:lvlText w:val="%9."/>
      <w:lvlJc w:val="right"/>
      <w:pPr>
        <w:tabs>
          <w:tab w:val="left" w:pos="3780"/>
        </w:tabs>
        <w:ind w:left="3779" w:hanging="419"/>
      </w:pPr>
      <w:rPr>
        <w:rFonts w:hint="eastAsia"/>
      </w:rPr>
    </w:lvl>
  </w:abstractNum>
  <w:abstractNum w:abstractNumId="533270883">
    <w:nsid w:val="1FC91163"/>
    <w:multiLevelType w:val="multilevel"/>
    <w:tmpl w:val="1FC91163"/>
    <w:lvl w:ilvl="0" w:tentative="1">
      <w:start w:val="1"/>
      <w:numFmt w:val="decimal"/>
      <w:pStyle w:val="49"/>
      <w:suff w:val="nothing"/>
      <w:lvlText w:val="%1　"/>
      <w:lvlJc w:val="left"/>
      <w:pPr>
        <w:ind w:left="0" w:firstLine="0"/>
      </w:pPr>
      <w:rPr>
        <w:rFonts w:hint="eastAsia" w:ascii="黑体" w:hAnsi="Times New Roman" w:eastAsia="黑体"/>
        <w:b w:val="0"/>
        <w:i w:val="0"/>
        <w:sz w:val="21"/>
        <w:szCs w:val="21"/>
      </w:rPr>
    </w:lvl>
    <w:lvl w:ilvl="1" w:tentative="1">
      <w:start w:val="1"/>
      <w:numFmt w:val="decimal"/>
      <w:pStyle w:val="46"/>
      <w:suff w:val="nothing"/>
      <w:lvlText w:val="%1.%2　"/>
      <w:lvlJc w:val="left"/>
      <w:pPr>
        <w:ind w:left="1985" w:firstLine="0"/>
      </w:pPr>
      <w:rPr>
        <w:rFonts w:hint="eastAsia" w:ascii="黑体" w:hAnsi="黑体" w:eastAsia="黑体" w:cs="Times New Roman"/>
        <w:b w:val="0"/>
        <w:bCs w:val="0"/>
        <w:i w:val="0"/>
        <w:iCs w:val="0"/>
        <w:caps w:val="0"/>
        <w:strike w:val="0"/>
        <w:dstrike w:val="0"/>
        <w:outline w:val="0"/>
        <w:shadow w:val="0"/>
        <w:spacing w:val="0"/>
        <w:kern w:val="0"/>
        <w:position w:val="0"/>
        <w:sz w:val="21"/>
        <w:szCs w:val="21"/>
        <w:u w:val="none"/>
      </w:rPr>
    </w:lvl>
    <w:lvl w:ilvl="2" w:tentative="1">
      <w:start w:val="1"/>
      <w:numFmt w:val="decimal"/>
      <w:pStyle w:val="50"/>
      <w:suff w:val="nothing"/>
      <w:lvlText w:val="%1.%2.%3　"/>
      <w:lvlJc w:val="left"/>
      <w:pPr>
        <w:ind w:left="142" w:firstLine="0"/>
      </w:pPr>
      <w:rPr>
        <w:rFonts w:hint="eastAsia" w:ascii="黑体" w:hAnsi="黑体" w:eastAsia="黑体"/>
        <w:b w:val="0"/>
        <w:i w:val="0"/>
        <w:sz w:val="21"/>
      </w:rPr>
    </w:lvl>
    <w:lvl w:ilvl="3" w:tentative="1">
      <w:start w:val="1"/>
      <w:numFmt w:val="decimal"/>
      <w:pStyle w:val="55"/>
      <w:suff w:val="nothing"/>
      <w:lvlText w:val="%1.%2.%3.%4　"/>
      <w:lvlJc w:val="left"/>
      <w:pPr>
        <w:ind w:left="993" w:firstLine="0"/>
      </w:pPr>
      <w:rPr>
        <w:rFonts w:ascii="宋体" w:hAnsi="宋体" w:eastAsia="宋体" w:cs="Times New Roman"/>
        <w:b w:val="0"/>
        <w:bCs w:val="0"/>
        <w:i w:val="0"/>
        <w:iCs w:val="0"/>
        <w:caps w:val="0"/>
        <w:smallCaps w:val="0"/>
        <w:strike w:val="0"/>
        <w:dstrike w:val="0"/>
        <w:outline w:val="0"/>
        <w:shadow w:val="0"/>
        <w:snapToGrid w:val="0"/>
        <w:color w:val="auto"/>
        <w:spacing w:val="0"/>
        <w:w w:val="100"/>
        <w:kern w:val="0"/>
        <w:position w:val="0"/>
        <w:sz w:val="21"/>
        <w:szCs w:val="16"/>
        <w:u w:val="none"/>
        <w:shd w:val="clear" w:color="auto" w:fill="auto"/>
      </w:rPr>
    </w:lvl>
    <w:lvl w:ilvl="4" w:tentative="1">
      <w:start w:val="1"/>
      <w:numFmt w:val="decimal"/>
      <w:pStyle w:val="59"/>
      <w:suff w:val="nothing"/>
      <w:lvlText w:val="%1.%2.%3.%4.%5　"/>
      <w:lvlJc w:val="left"/>
      <w:pPr>
        <w:ind w:left="0" w:firstLine="0"/>
      </w:pPr>
      <w:rPr>
        <w:rFonts w:hint="eastAsia" w:ascii="黑体" w:hAnsi="Times New Roman" w:eastAsia="黑体"/>
        <w:b w:val="0"/>
        <w:i w:val="0"/>
        <w:sz w:val="21"/>
      </w:rPr>
    </w:lvl>
    <w:lvl w:ilvl="5" w:tentative="1">
      <w:start w:val="1"/>
      <w:numFmt w:val="decimal"/>
      <w:pStyle w:val="60"/>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744036291">
    <w:nsid w:val="2C5917C3"/>
    <w:multiLevelType w:val="multilevel"/>
    <w:tmpl w:val="2C5917C3"/>
    <w:lvl w:ilvl="0" w:tentative="1">
      <w:start w:val="1"/>
      <w:numFmt w:val="none"/>
      <w:pStyle w:val="52"/>
      <w:suff w:val="nothing"/>
      <w:lvlText w:val="%1——"/>
      <w:lvlJc w:val="left"/>
      <w:pPr>
        <w:ind w:left="1259" w:hanging="408"/>
      </w:pPr>
      <w:rPr>
        <w:rFonts w:hint="eastAsia"/>
      </w:rPr>
    </w:lvl>
    <w:lvl w:ilvl="1" w:tentative="1">
      <w:start w:val="1"/>
      <w:numFmt w:val="bullet"/>
      <w:pStyle w:val="53"/>
      <w:lvlText w:val=""/>
      <w:lvlJc w:val="left"/>
      <w:pPr>
        <w:tabs>
          <w:tab w:val="left" w:pos="1186"/>
        </w:tabs>
        <w:ind w:left="1690" w:hanging="413"/>
      </w:pPr>
      <w:rPr>
        <w:rFonts w:hint="default" w:ascii="Symbol" w:hAnsi="Symbol"/>
        <w:color w:val="auto"/>
      </w:rPr>
    </w:lvl>
    <w:lvl w:ilvl="2" w:tentative="1">
      <w:start w:val="1"/>
      <w:numFmt w:val="bullet"/>
      <w:pStyle w:val="64"/>
      <w:lvlText w:val=""/>
      <w:lvlJc w:val="left"/>
      <w:pPr>
        <w:tabs>
          <w:tab w:val="left" w:pos="2104"/>
        </w:tabs>
        <w:ind w:left="2104" w:hanging="414"/>
      </w:pPr>
      <w:rPr>
        <w:rFonts w:hint="default" w:ascii="Symbol" w:hAnsi="Symbol"/>
        <w:color w:val="auto"/>
      </w:rPr>
    </w:lvl>
    <w:lvl w:ilvl="3" w:tentative="1">
      <w:start w:val="1"/>
      <w:numFmt w:val="decimal"/>
      <w:lvlText w:val="%4."/>
      <w:lvlJc w:val="left"/>
      <w:pPr>
        <w:tabs>
          <w:tab w:val="left" w:pos="2497"/>
        </w:tabs>
        <w:ind w:left="2310" w:hanging="528"/>
      </w:pPr>
      <w:rPr>
        <w:rFonts w:hint="eastAsia"/>
      </w:rPr>
    </w:lvl>
    <w:lvl w:ilvl="4" w:tentative="1">
      <w:start w:val="1"/>
      <w:numFmt w:val="lowerLetter"/>
      <w:lvlText w:val="%5)"/>
      <w:lvlJc w:val="left"/>
      <w:pPr>
        <w:tabs>
          <w:tab w:val="left" w:pos="2809"/>
        </w:tabs>
        <w:ind w:left="2622" w:hanging="528"/>
      </w:pPr>
      <w:rPr>
        <w:rFonts w:hint="eastAsia"/>
      </w:rPr>
    </w:lvl>
    <w:lvl w:ilvl="5" w:tentative="1">
      <w:start w:val="1"/>
      <w:numFmt w:val="lowerRoman"/>
      <w:lvlText w:val="%6."/>
      <w:lvlJc w:val="right"/>
      <w:pPr>
        <w:tabs>
          <w:tab w:val="left" w:pos="3121"/>
        </w:tabs>
        <w:ind w:left="2934" w:hanging="528"/>
      </w:pPr>
      <w:rPr>
        <w:rFonts w:hint="eastAsia"/>
      </w:rPr>
    </w:lvl>
    <w:lvl w:ilvl="6" w:tentative="1">
      <w:start w:val="1"/>
      <w:numFmt w:val="decimal"/>
      <w:lvlText w:val="%7."/>
      <w:lvlJc w:val="left"/>
      <w:pPr>
        <w:tabs>
          <w:tab w:val="left" w:pos="3433"/>
        </w:tabs>
        <w:ind w:left="3246" w:hanging="528"/>
      </w:pPr>
      <w:rPr>
        <w:rFonts w:hint="eastAsia"/>
      </w:rPr>
    </w:lvl>
    <w:lvl w:ilvl="7" w:tentative="1">
      <w:start w:val="1"/>
      <w:numFmt w:val="lowerLetter"/>
      <w:lvlText w:val="%8)"/>
      <w:lvlJc w:val="left"/>
      <w:pPr>
        <w:tabs>
          <w:tab w:val="left" w:pos="3745"/>
        </w:tabs>
        <w:ind w:left="3558" w:hanging="528"/>
      </w:pPr>
      <w:rPr>
        <w:rFonts w:hint="eastAsia"/>
      </w:rPr>
    </w:lvl>
    <w:lvl w:ilvl="8" w:tentative="1">
      <w:start w:val="1"/>
      <w:numFmt w:val="lowerRoman"/>
      <w:lvlText w:val="%9."/>
      <w:lvlJc w:val="right"/>
      <w:pPr>
        <w:tabs>
          <w:tab w:val="left" w:pos="4057"/>
        </w:tabs>
        <w:ind w:left="3870" w:hanging="528"/>
      </w:pPr>
      <w:rPr>
        <w:rFonts w:hint="eastAsia"/>
      </w:rPr>
    </w:lvl>
  </w:abstractNum>
  <w:abstractNum w:abstractNumId="182675433">
    <w:nsid w:val="0AE367E9"/>
    <w:multiLevelType w:val="multilevel"/>
    <w:tmpl w:val="0AE367E9"/>
    <w:lvl w:ilvl="0" w:tentative="1">
      <w:start w:val="1"/>
      <w:numFmt w:val="none"/>
      <w:pStyle w:val="56"/>
      <w:suff w:val="nothing"/>
      <w:lvlText w:val="%1示例："/>
      <w:lvlJc w:val="left"/>
      <w:pPr>
        <w:ind w:left="0" w:firstLine="363"/>
      </w:pPr>
      <w:rPr>
        <w:rFonts w:hint="eastAsia" w:ascii="黑体" w:eastAsia="黑体"/>
        <w:b w:val="0"/>
        <w:i w:val="0"/>
        <w:sz w:val="18"/>
        <w:szCs w:val="18"/>
      </w:rPr>
    </w:lvl>
    <w:lvl w:ilvl="1" w:tentative="1">
      <w:start w:val="1"/>
      <w:numFmt w:val="lowerLetter"/>
      <w:lvlText w:val="%2)"/>
      <w:lvlJc w:val="left"/>
      <w:pPr>
        <w:tabs>
          <w:tab w:val="left" w:pos="363"/>
        </w:tabs>
        <w:ind w:left="0" w:firstLine="363"/>
      </w:pPr>
      <w:rPr>
        <w:rFonts w:hint="eastAsia"/>
      </w:rPr>
    </w:lvl>
    <w:lvl w:ilvl="2" w:tentative="1">
      <w:start w:val="1"/>
      <w:numFmt w:val="lowerRoman"/>
      <w:lvlText w:val="%3."/>
      <w:lvlJc w:val="right"/>
      <w:pPr>
        <w:tabs>
          <w:tab w:val="left" w:pos="363"/>
        </w:tabs>
        <w:ind w:left="0" w:firstLine="363"/>
      </w:pPr>
      <w:rPr>
        <w:rFonts w:hint="eastAsia"/>
      </w:rPr>
    </w:lvl>
    <w:lvl w:ilvl="3" w:tentative="1">
      <w:start w:val="1"/>
      <w:numFmt w:val="decimal"/>
      <w:lvlText w:val="%4."/>
      <w:lvlJc w:val="left"/>
      <w:pPr>
        <w:tabs>
          <w:tab w:val="left" w:pos="363"/>
        </w:tabs>
        <w:ind w:left="0" w:firstLine="363"/>
      </w:pPr>
      <w:rPr>
        <w:rFonts w:hint="eastAsia"/>
      </w:rPr>
    </w:lvl>
    <w:lvl w:ilvl="4" w:tentative="1">
      <w:start w:val="1"/>
      <w:numFmt w:val="lowerLetter"/>
      <w:lvlText w:val="%5)"/>
      <w:lvlJc w:val="left"/>
      <w:pPr>
        <w:tabs>
          <w:tab w:val="left" w:pos="363"/>
        </w:tabs>
        <w:ind w:left="0" w:firstLine="363"/>
      </w:pPr>
      <w:rPr>
        <w:rFonts w:hint="eastAsia"/>
      </w:rPr>
    </w:lvl>
    <w:lvl w:ilvl="5" w:tentative="1">
      <w:start w:val="1"/>
      <w:numFmt w:val="lowerRoman"/>
      <w:lvlText w:val="%6."/>
      <w:lvlJc w:val="right"/>
      <w:pPr>
        <w:tabs>
          <w:tab w:val="left" w:pos="363"/>
        </w:tabs>
        <w:ind w:left="0" w:firstLine="363"/>
      </w:pPr>
      <w:rPr>
        <w:rFonts w:hint="eastAsia"/>
      </w:rPr>
    </w:lvl>
    <w:lvl w:ilvl="6" w:tentative="1">
      <w:start w:val="1"/>
      <w:numFmt w:val="decimal"/>
      <w:lvlText w:val="%7."/>
      <w:lvlJc w:val="left"/>
      <w:pPr>
        <w:tabs>
          <w:tab w:val="left" w:pos="363"/>
        </w:tabs>
        <w:ind w:left="0" w:firstLine="363"/>
      </w:pPr>
      <w:rPr>
        <w:rFonts w:hint="eastAsia"/>
      </w:rPr>
    </w:lvl>
    <w:lvl w:ilvl="7" w:tentative="1">
      <w:start w:val="1"/>
      <w:numFmt w:val="lowerLetter"/>
      <w:lvlText w:val="%8)"/>
      <w:lvlJc w:val="left"/>
      <w:pPr>
        <w:tabs>
          <w:tab w:val="left" w:pos="363"/>
        </w:tabs>
        <w:ind w:left="0" w:firstLine="363"/>
      </w:pPr>
      <w:rPr>
        <w:rFonts w:hint="eastAsia"/>
      </w:rPr>
    </w:lvl>
    <w:lvl w:ilvl="8" w:tentative="1">
      <w:start w:val="1"/>
      <w:numFmt w:val="lowerRoman"/>
      <w:lvlText w:val="%9."/>
      <w:lvlJc w:val="right"/>
      <w:pPr>
        <w:tabs>
          <w:tab w:val="left" w:pos="363"/>
        </w:tabs>
        <w:ind w:left="0" w:firstLine="363"/>
      </w:pPr>
      <w:rPr>
        <w:rFonts w:hint="eastAsia"/>
      </w:rPr>
    </w:lvl>
  </w:abstractNum>
  <w:abstractNum w:abstractNumId="154953592">
    <w:nsid w:val="093C6778"/>
    <w:multiLevelType w:val="multilevel"/>
    <w:tmpl w:val="093C6778"/>
    <w:lvl w:ilvl="0" w:tentative="1">
      <w:start w:val="1"/>
      <w:numFmt w:val="decimal"/>
      <w:pStyle w:val="118"/>
      <w:suff w:val="nothing"/>
      <w:lvlText w:val="示例%1："/>
      <w:lvlJc w:val="left"/>
      <w:pPr>
        <w:ind w:left="0" w:firstLine="397"/>
      </w:pPr>
      <w:rPr>
        <w:rFonts w:hint="eastAsia" w:ascii="黑体" w:eastAsia="黑体"/>
        <w:sz w:val="18"/>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1702707132">
    <w:nsid w:val="657D3FBC"/>
    <w:multiLevelType w:val="multilevel"/>
    <w:tmpl w:val="657D3FBC"/>
    <w:lvl w:ilvl="0" w:tentative="1">
      <w:start w:val="1"/>
      <w:numFmt w:val="upperLetter"/>
      <w:pStyle w:val="87"/>
      <w:suff w:val="nothing"/>
      <w:lvlText w:val="附　录　%1"/>
      <w:lvlJc w:val="left"/>
      <w:pPr>
        <w:ind w:left="4395" w:firstLine="0"/>
      </w:pPr>
      <w:rPr>
        <w:rFonts w:hint="eastAsia" w:ascii="黑体" w:hAnsi="Times New Roman" w:eastAsia="黑体"/>
        <w:b w:val="0"/>
        <w:i w:val="0"/>
        <w:color w:val="auto"/>
        <w:spacing w:val="0"/>
        <w:w w:val="100"/>
        <w:sz w:val="21"/>
      </w:rPr>
    </w:lvl>
    <w:lvl w:ilvl="1" w:tentative="1">
      <w:start w:val="1"/>
      <w:numFmt w:val="decimal"/>
      <w:pStyle w:val="104"/>
      <w:suff w:val="nothing"/>
      <w:lvlText w:val="%1.%2　"/>
      <w:lvlJc w:val="left"/>
      <w:pPr>
        <w:ind w:left="1702" w:firstLine="0"/>
      </w:pPr>
      <w:rPr>
        <w:rFonts w:hint="eastAsia" w:ascii="黑体" w:hAnsi="Times New Roman" w:eastAsia="黑体"/>
        <w:b w:val="0"/>
        <w:i w:val="0"/>
        <w:spacing w:val="0"/>
        <w:w w:val="100"/>
        <w:kern w:val="21"/>
        <w:sz w:val="21"/>
      </w:rPr>
    </w:lvl>
    <w:lvl w:ilvl="2" w:tentative="1">
      <w:start w:val="1"/>
      <w:numFmt w:val="decimal"/>
      <w:pStyle w:val="105"/>
      <w:suff w:val="nothing"/>
      <w:lvlText w:val="%1.%2.%3　"/>
      <w:lvlJc w:val="left"/>
      <w:pPr>
        <w:ind w:left="2836" w:firstLine="0"/>
      </w:pPr>
      <w:rPr>
        <w:rFonts w:hint="eastAsia" w:ascii="黑体" w:hAnsi="Times New Roman" w:eastAsia="黑体"/>
        <w:b w:val="0"/>
        <w:i w:val="0"/>
        <w:sz w:val="21"/>
      </w:rPr>
    </w:lvl>
    <w:lvl w:ilvl="3" w:tentative="1">
      <w:start w:val="1"/>
      <w:numFmt w:val="decimal"/>
      <w:pStyle w:val="91"/>
      <w:suff w:val="nothing"/>
      <w:lvlText w:val="%1.%2.%3.%4　"/>
      <w:lvlJc w:val="left"/>
      <w:pPr>
        <w:ind w:left="0" w:firstLine="0"/>
      </w:pPr>
      <w:rPr>
        <w:rFonts w:hint="eastAsia" w:ascii="黑体" w:hAnsi="Times New Roman" w:eastAsia="黑体"/>
        <w:b w:val="0"/>
        <w:i w:val="0"/>
        <w:sz w:val="21"/>
      </w:rPr>
    </w:lvl>
    <w:lvl w:ilvl="4" w:tentative="1">
      <w:start w:val="1"/>
      <w:numFmt w:val="decimal"/>
      <w:pStyle w:val="95"/>
      <w:suff w:val="nothing"/>
      <w:lvlText w:val="%1.%2.%3.%4.%5　"/>
      <w:lvlJc w:val="left"/>
      <w:pPr>
        <w:ind w:left="0" w:firstLine="0"/>
      </w:pPr>
      <w:rPr>
        <w:rFonts w:hint="eastAsia" w:ascii="黑体" w:hAnsi="Times New Roman" w:eastAsia="黑体"/>
        <w:b w:val="0"/>
        <w:i w:val="0"/>
        <w:sz w:val="21"/>
      </w:rPr>
    </w:lvl>
    <w:lvl w:ilvl="5" w:tentative="1">
      <w:start w:val="1"/>
      <w:numFmt w:val="decimal"/>
      <w:pStyle w:val="98"/>
      <w:suff w:val="nothing"/>
      <w:lvlText w:val="%1.%2.%3.%4.%5.%6　"/>
      <w:lvlJc w:val="left"/>
      <w:pPr>
        <w:ind w:left="0" w:firstLine="0"/>
      </w:pPr>
      <w:rPr>
        <w:rFonts w:hint="eastAsia" w:ascii="黑体" w:hAnsi="Times New Roman" w:eastAsia="黑体"/>
        <w:b w:val="0"/>
        <w:i w:val="0"/>
        <w:sz w:val="21"/>
      </w:rPr>
    </w:lvl>
    <w:lvl w:ilvl="6" w:tentative="1">
      <w:start w:val="1"/>
      <w:numFmt w:val="decimal"/>
      <w:pStyle w:val="102"/>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1622498754">
    <w:nsid w:val="60B55DC2"/>
    <w:multiLevelType w:val="multilevel"/>
    <w:tmpl w:val="60B55DC2"/>
    <w:lvl w:ilvl="0" w:tentative="1">
      <w:start w:val="1"/>
      <w:numFmt w:val="upperLetter"/>
      <w:pStyle w:val="89"/>
      <w:lvlText w:val="%1"/>
      <w:lvlJc w:val="left"/>
      <w:pPr>
        <w:tabs>
          <w:tab w:val="left" w:pos="0"/>
        </w:tabs>
        <w:ind w:left="0" w:hanging="425"/>
      </w:pPr>
      <w:rPr>
        <w:rFonts w:hint="eastAsia"/>
      </w:rPr>
    </w:lvl>
    <w:lvl w:ilvl="1" w:tentative="1">
      <w:start w:val="1"/>
      <w:numFmt w:val="decimal"/>
      <w:pStyle w:val="90"/>
      <w:suff w:val="nothing"/>
      <w:lvlText w:val="表%1.%2　"/>
      <w:lvlJc w:val="left"/>
      <w:pPr>
        <w:ind w:left="567" w:hanging="567"/>
      </w:pPr>
      <w:rPr>
        <w:rFonts w:hint="eastAsia"/>
      </w:rPr>
    </w:lvl>
    <w:lvl w:ilvl="2" w:tentative="1">
      <w:start w:val="1"/>
      <w:numFmt w:val="decimal"/>
      <w:lvlText w:val="%1.%2.%3"/>
      <w:lvlJc w:val="left"/>
      <w:pPr>
        <w:tabs>
          <w:tab w:val="left" w:pos="993"/>
        </w:tabs>
        <w:ind w:left="993" w:hanging="567"/>
      </w:pPr>
      <w:rPr>
        <w:rFonts w:hint="eastAsia"/>
      </w:rPr>
    </w:lvl>
    <w:lvl w:ilvl="3" w:tentative="1">
      <w:start w:val="1"/>
      <w:numFmt w:val="decimal"/>
      <w:lvlText w:val="%1.%2.%3.%4"/>
      <w:lvlJc w:val="left"/>
      <w:pPr>
        <w:tabs>
          <w:tab w:val="left" w:pos="2291"/>
        </w:tabs>
        <w:ind w:left="1559" w:hanging="708"/>
      </w:pPr>
      <w:rPr>
        <w:rFonts w:hint="eastAsia"/>
      </w:rPr>
    </w:lvl>
    <w:lvl w:ilvl="4" w:tentative="1">
      <w:start w:val="1"/>
      <w:numFmt w:val="decimal"/>
      <w:lvlText w:val="%1.%2.%3.%4.%5"/>
      <w:lvlJc w:val="left"/>
      <w:pPr>
        <w:tabs>
          <w:tab w:val="left" w:pos="3076"/>
        </w:tabs>
        <w:ind w:left="2126" w:hanging="850"/>
      </w:pPr>
      <w:rPr>
        <w:rFonts w:hint="eastAsia"/>
      </w:rPr>
    </w:lvl>
    <w:lvl w:ilvl="5" w:tentative="1">
      <w:start w:val="1"/>
      <w:numFmt w:val="decimal"/>
      <w:lvlText w:val="%1.%2.%3.%4.%5.%6"/>
      <w:lvlJc w:val="left"/>
      <w:pPr>
        <w:tabs>
          <w:tab w:val="left" w:pos="3861"/>
        </w:tabs>
        <w:ind w:left="2835" w:hanging="1134"/>
      </w:pPr>
      <w:rPr>
        <w:rFonts w:hint="eastAsia"/>
      </w:rPr>
    </w:lvl>
    <w:lvl w:ilvl="6" w:tentative="1">
      <w:start w:val="1"/>
      <w:numFmt w:val="decimal"/>
      <w:lvlText w:val="%1.%2.%3.%4.%5.%6.%7"/>
      <w:lvlJc w:val="left"/>
      <w:pPr>
        <w:tabs>
          <w:tab w:val="left" w:pos="4646"/>
        </w:tabs>
        <w:ind w:left="3402" w:hanging="1276"/>
      </w:pPr>
      <w:rPr>
        <w:rFonts w:hint="eastAsia"/>
      </w:rPr>
    </w:lvl>
    <w:lvl w:ilvl="7" w:tentative="1">
      <w:start w:val="1"/>
      <w:numFmt w:val="decimal"/>
      <w:lvlText w:val="%1.%2.%3.%4.%5.%6.%7.%8"/>
      <w:lvlJc w:val="left"/>
      <w:pPr>
        <w:tabs>
          <w:tab w:val="left" w:pos="5431"/>
        </w:tabs>
        <w:ind w:left="3969" w:hanging="1418"/>
      </w:pPr>
      <w:rPr>
        <w:rFonts w:hint="eastAsia"/>
      </w:rPr>
    </w:lvl>
    <w:lvl w:ilvl="8" w:tentative="1">
      <w:start w:val="1"/>
      <w:numFmt w:val="decimal"/>
      <w:lvlText w:val="%1.%2.%3.%4.%5.%6.%7.%8.%9"/>
      <w:lvlJc w:val="left"/>
      <w:pPr>
        <w:tabs>
          <w:tab w:val="left" w:pos="6217"/>
        </w:tabs>
        <w:ind w:left="4677" w:hanging="1700"/>
      </w:pPr>
      <w:rPr>
        <w:rFonts w:hint="eastAsia"/>
      </w:rPr>
    </w:lvl>
  </w:abstractNum>
  <w:abstractNum w:abstractNumId="126943917">
    <w:nsid w:val="079102AD"/>
    <w:multiLevelType w:val="multilevel"/>
    <w:tmpl w:val="079102AD"/>
    <w:lvl w:ilvl="0" w:tentative="1">
      <w:start w:val="1"/>
      <w:numFmt w:val="decimal"/>
      <w:pStyle w:val="62"/>
      <w:suff w:val="nothing"/>
      <w:lvlText w:val="注%1："/>
      <w:lvlJc w:val="left"/>
      <w:pPr>
        <w:ind w:left="811" w:hanging="448"/>
      </w:pPr>
      <w:rPr>
        <w:rFonts w:hint="eastAsia" w:ascii="黑体" w:eastAsia="黑体"/>
        <w:b w:val="0"/>
        <w:i w:val="0"/>
        <w:sz w:val="18"/>
        <w:lang w:val="en-US"/>
      </w:rPr>
    </w:lvl>
    <w:lvl w:ilvl="1" w:tentative="1">
      <w:start w:val="1"/>
      <w:numFmt w:val="lowerLetter"/>
      <w:lvlText w:val="%2)"/>
      <w:lvlJc w:val="left"/>
      <w:pPr>
        <w:tabs>
          <w:tab w:val="left" w:pos="0"/>
        </w:tabs>
        <w:ind w:left="992" w:hanging="629"/>
      </w:pPr>
      <w:rPr>
        <w:rFonts w:hint="eastAsia"/>
      </w:rPr>
    </w:lvl>
    <w:lvl w:ilvl="2" w:tentative="1">
      <w:start w:val="1"/>
      <w:numFmt w:val="lowerRoman"/>
      <w:lvlText w:val="%3."/>
      <w:lvlJc w:val="right"/>
      <w:pPr>
        <w:tabs>
          <w:tab w:val="left" w:pos="0"/>
        </w:tabs>
        <w:ind w:left="992" w:hanging="629"/>
      </w:pPr>
      <w:rPr>
        <w:rFonts w:hint="eastAsia"/>
      </w:rPr>
    </w:lvl>
    <w:lvl w:ilvl="3" w:tentative="1">
      <w:start w:val="1"/>
      <w:numFmt w:val="decimal"/>
      <w:lvlText w:val="%4."/>
      <w:lvlJc w:val="left"/>
      <w:pPr>
        <w:tabs>
          <w:tab w:val="left" w:pos="0"/>
        </w:tabs>
        <w:ind w:left="992" w:hanging="629"/>
      </w:pPr>
      <w:rPr>
        <w:rFonts w:hint="eastAsia"/>
      </w:rPr>
    </w:lvl>
    <w:lvl w:ilvl="4" w:tentative="1">
      <w:start w:val="1"/>
      <w:numFmt w:val="lowerLetter"/>
      <w:lvlText w:val="%5)"/>
      <w:lvlJc w:val="left"/>
      <w:pPr>
        <w:tabs>
          <w:tab w:val="left" w:pos="0"/>
        </w:tabs>
        <w:ind w:left="992" w:hanging="629"/>
      </w:pPr>
      <w:rPr>
        <w:rFonts w:hint="eastAsia"/>
      </w:rPr>
    </w:lvl>
    <w:lvl w:ilvl="5" w:tentative="1">
      <w:start w:val="1"/>
      <w:numFmt w:val="lowerRoman"/>
      <w:lvlText w:val="%6."/>
      <w:lvlJc w:val="right"/>
      <w:pPr>
        <w:tabs>
          <w:tab w:val="left" w:pos="0"/>
        </w:tabs>
        <w:ind w:left="992" w:hanging="629"/>
      </w:pPr>
      <w:rPr>
        <w:rFonts w:hint="eastAsia"/>
      </w:rPr>
    </w:lvl>
    <w:lvl w:ilvl="6" w:tentative="1">
      <w:start w:val="1"/>
      <w:numFmt w:val="decimal"/>
      <w:lvlText w:val="%7."/>
      <w:lvlJc w:val="left"/>
      <w:pPr>
        <w:tabs>
          <w:tab w:val="left" w:pos="0"/>
        </w:tabs>
        <w:ind w:left="992" w:hanging="629"/>
      </w:pPr>
      <w:rPr>
        <w:rFonts w:hint="eastAsia"/>
      </w:rPr>
    </w:lvl>
    <w:lvl w:ilvl="7" w:tentative="1">
      <w:start w:val="1"/>
      <w:numFmt w:val="lowerLetter"/>
      <w:lvlText w:val="%8)"/>
      <w:lvlJc w:val="left"/>
      <w:pPr>
        <w:tabs>
          <w:tab w:val="left" w:pos="0"/>
        </w:tabs>
        <w:ind w:left="992" w:hanging="629"/>
      </w:pPr>
      <w:rPr>
        <w:rFonts w:hint="eastAsia"/>
      </w:rPr>
    </w:lvl>
    <w:lvl w:ilvl="8" w:tentative="1">
      <w:start w:val="1"/>
      <w:numFmt w:val="lowerRoman"/>
      <w:lvlText w:val="%9."/>
      <w:lvlJc w:val="right"/>
      <w:pPr>
        <w:tabs>
          <w:tab w:val="left" w:pos="0"/>
        </w:tabs>
        <w:ind w:left="992" w:hanging="629"/>
      </w:pPr>
      <w:rPr>
        <w:rFonts w:hint="eastAsia"/>
      </w:rPr>
    </w:lvl>
  </w:abstractNum>
  <w:abstractNum w:abstractNumId="1841235188">
    <w:nsid w:val="6DBF04F4"/>
    <w:multiLevelType w:val="multilevel"/>
    <w:tmpl w:val="6DBF04F4"/>
    <w:lvl w:ilvl="0" w:tentative="1">
      <w:start w:val="1"/>
      <w:numFmt w:val="none"/>
      <w:pStyle w:val="61"/>
      <w:suff w:val="nothing"/>
      <w:lvlText w:val="%1注："/>
      <w:lvlJc w:val="left"/>
      <w:pPr>
        <w:ind w:left="726" w:hanging="363"/>
      </w:pPr>
      <w:rPr>
        <w:rFonts w:hint="eastAsia" w:ascii="黑体" w:hAnsi="Times New Roman" w:eastAsia="黑体"/>
        <w:b w:val="0"/>
        <w:i w:val="0"/>
        <w:sz w:val="18"/>
      </w:rPr>
    </w:lvl>
    <w:lvl w:ilvl="1" w:tentative="1">
      <w:start w:val="1"/>
      <w:numFmt w:val="lowerLetter"/>
      <w:lvlText w:val="%2)"/>
      <w:lvlJc w:val="left"/>
      <w:pPr>
        <w:tabs>
          <w:tab w:val="left" w:pos="1140"/>
        </w:tabs>
        <w:ind w:left="726" w:hanging="363"/>
      </w:pPr>
      <w:rPr>
        <w:rFonts w:hint="eastAsia"/>
      </w:rPr>
    </w:lvl>
    <w:lvl w:ilvl="2" w:tentative="1">
      <w:start w:val="1"/>
      <w:numFmt w:val="lowerRoman"/>
      <w:lvlText w:val="%3."/>
      <w:lvlJc w:val="right"/>
      <w:pPr>
        <w:tabs>
          <w:tab w:val="left" w:pos="1140"/>
        </w:tabs>
        <w:ind w:left="726" w:hanging="363"/>
      </w:pPr>
      <w:rPr>
        <w:rFonts w:hint="eastAsia"/>
      </w:rPr>
    </w:lvl>
    <w:lvl w:ilvl="3" w:tentative="1">
      <w:start w:val="1"/>
      <w:numFmt w:val="decimal"/>
      <w:lvlText w:val="%4."/>
      <w:lvlJc w:val="left"/>
      <w:pPr>
        <w:tabs>
          <w:tab w:val="left" w:pos="1140"/>
        </w:tabs>
        <w:ind w:left="726" w:hanging="363"/>
      </w:pPr>
      <w:rPr>
        <w:rFonts w:hint="eastAsia"/>
      </w:rPr>
    </w:lvl>
    <w:lvl w:ilvl="4" w:tentative="1">
      <w:start w:val="1"/>
      <w:numFmt w:val="lowerLetter"/>
      <w:lvlText w:val="%5)"/>
      <w:lvlJc w:val="left"/>
      <w:pPr>
        <w:tabs>
          <w:tab w:val="left" w:pos="1140"/>
        </w:tabs>
        <w:ind w:left="726" w:hanging="363"/>
      </w:pPr>
      <w:rPr>
        <w:rFonts w:hint="eastAsia"/>
      </w:rPr>
    </w:lvl>
    <w:lvl w:ilvl="5" w:tentative="1">
      <w:start w:val="1"/>
      <w:numFmt w:val="lowerRoman"/>
      <w:lvlText w:val="%6."/>
      <w:lvlJc w:val="right"/>
      <w:pPr>
        <w:tabs>
          <w:tab w:val="left" w:pos="1140"/>
        </w:tabs>
        <w:ind w:left="726" w:hanging="363"/>
      </w:pPr>
      <w:rPr>
        <w:rFonts w:hint="eastAsia"/>
      </w:rPr>
    </w:lvl>
    <w:lvl w:ilvl="6" w:tentative="1">
      <w:start w:val="1"/>
      <w:numFmt w:val="decimal"/>
      <w:lvlText w:val="%7."/>
      <w:lvlJc w:val="left"/>
      <w:pPr>
        <w:tabs>
          <w:tab w:val="left" w:pos="1140"/>
        </w:tabs>
        <w:ind w:left="726" w:hanging="363"/>
      </w:pPr>
      <w:rPr>
        <w:rFonts w:hint="eastAsia"/>
      </w:rPr>
    </w:lvl>
    <w:lvl w:ilvl="7" w:tentative="1">
      <w:start w:val="1"/>
      <w:numFmt w:val="lowerLetter"/>
      <w:lvlText w:val="%8)"/>
      <w:lvlJc w:val="left"/>
      <w:pPr>
        <w:tabs>
          <w:tab w:val="left" w:pos="1140"/>
        </w:tabs>
        <w:ind w:left="726" w:hanging="363"/>
      </w:pPr>
      <w:rPr>
        <w:rFonts w:hint="eastAsia"/>
      </w:rPr>
    </w:lvl>
    <w:lvl w:ilvl="8" w:tentative="1">
      <w:start w:val="1"/>
      <w:numFmt w:val="lowerRoman"/>
      <w:lvlText w:val="%9."/>
      <w:lvlJc w:val="right"/>
      <w:pPr>
        <w:tabs>
          <w:tab w:val="left" w:pos="1140"/>
        </w:tabs>
        <w:ind w:left="726" w:hanging="363"/>
      </w:pPr>
      <w:rPr>
        <w:rFonts w:hint="eastAsia"/>
      </w:rPr>
    </w:lvl>
  </w:abstractNum>
  <w:abstractNum w:abstractNumId="1265842783">
    <w:nsid w:val="4B733A5F"/>
    <w:multiLevelType w:val="multilevel"/>
    <w:tmpl w:val="4B733A5F"/>
    <w:lvl w:ilvl="0" w:tentative="1">
      <w:start w:val="1"/>
      <w:numFmt w:val="decimal"/>
      <w:pStyle w:val="66"/>
      <w:suff w:val="nothing"/>
      <w:lvlText w:val="示例%1："/>
      <w:lvlJc w:val="left"/>
      <w:pPr>
        <w:ind w:left="0" w:firstLine="363"/>
      </w:pPr>
      <w:rPr>
        <w:rFonts w:hint="eastAsia" w:ascii="黑体" w:eastAsia="黑体"/>
        <w:b w:val="0"/>
        <w:i w:val="0"/>
        <w:sz w:val="18"/>
        <w:szCs w:val="18"/>
      </w:rPr>
    </w:lvl>
    <w:lvl w:ilvl="1" w:tentative="1">
      <w:start w:val="1"/>
      <w:numFmt w:val="lowerLetter"/>
      <w:lvlText w:val="%2)"/>
      <w:lvlJc w:val="left"/>
      <w:pPr>
        <w:ind w:left="0" w:firstLine="0"/>
      </w:pPr>
      <w:rPr>
        <w:rFonts w:hint="eastAsia"/>
      </w:rPr>
    </w:lvl>
    <w:lvl w:ilvl="2" w:tentative="1">
      <w:start w:val="1"/>
      <w:numFmt w:val="lowerRoman"/>
      <w:lvlText w:val="%3."/>
      <w:lvlJc w:val="right"/>
      <w:pPr>
        <w:ind w:left="839" w:hanging="442"/>
      </w:pPr>
      <w:rPr>
        <w:rFonts w:hint="eastAsia"/>
      </w:rPr>
    </w:lvl>
    <w:lvl w:ilvl="3" w:tentative="1">
      <w:start w:val="1"/>
      <w:numFmt w:val="decimal"/>
      <w:lvlText w:val="%4."/>
      <w:lvlJc w:val="left"/>
      <w:pPr>
        <w:ind w:left="839" w:hanging="442"/>
      </w:pPr>
      <w:rPr>
        <w:rFonts w:hint="eastAsia"/>
      </w:rPr>
    </w:lvl>
    <w:lvl w:ilvl="4" w:tentative="1">
      <w:start w:val="1"/>
      <w:numFmt w:val="lowerLetter"/>
      <w:lvlText w:val="%5)"/>
      <w:lvlJc w:val="left"/>
      <w:pPr>
        <w:ind w:left="839" w:hanging="442"/>
      </w:pPr>
      <w:rPr>
        <w:rFonts w:hint="eastAsia"/>
      </w:rPr>
    </w:lvl>
    <w:lvl w:ilvl="5" w:tentative="1">
      <w:start w:val="1"/>
      <w:numFmt w:val="lowerRoman"/>
      <w:lvlText w:val="%6."/>
      <w:lvlJc w:val="right"/>
      <w:pPr>
        <w:ind w:left="839" w:hanging="442"/>
      </w:pPr>
      <w:rPr>
        <w:rFonts w:hint="eastAsia"/>
      </w:rPr>
    </w:lvl>
    <w:lvl w:ilvl="6" w:tentative="1">
      <w:start w:val="1"/>
      <w:numFmt w:val="decimal"/>
      <w:lvlText w:val="%7."/>
      <w:lvlJc w:val="left"/>
      <w:pPr>
        <w:ind w:left="839" w:hanging="442"/>
      </w:pPr>
      <w:rPr>
        <w:rFonts w:hint="eastAsia"/>
      </w:rPr>
    </w:lvl>
    <w:lvl w:ilvl="7" w:tentative="1">
      <w:start w:val="1"/>
      <w:numFmt w:val="lowerLetter"/>
      <w:lvlText w:val="%8)"/>
      <w:lvlJc w:val="left"/>
      <w:pPr>
        <w:ind w:left="839" w:hanging="442"/>
      </w:pPr>
      <w:rPr>
        <w:rFonts w:hint="eastAsia"/>
      </w:rPr>
    </w:lvl>
    <w:lvl w:ilvl="8" w:tentative="1">
      <w:start w:val="1"/>
      <w:numFmt w:val="lowerRoman"/>
      <w:lvlText w:val="%9."/>
      <w:lvlJc w:val="right"/>
      <w:pPr>
        <w:ind w:left="839" w:hanging="442"/>
      </w:pPr>
      <w:rPr>
        <w:rFonts w:hint="eastAsia"/>
      </w:rPr>
    </w:lvl>
  </w:abstractNum>
  <w:abstractNum w:abstractNumId="714043667">
    <w:nsid w:val="2A8F7113"/>
    <w:multiLevelType w:val="multilevel"/>
    <w:tmpl w:val="2A8F7113"/>
    <w:lvl w:ilvl="0" w:tentative="1">
      <w:start w:val="1"/>
      <w:numFmt w:val="upperLetter"/>
      <w:pStyle w:val="100"/>
      <w:suff w:val="space"/>
      <w:lvlText w:val="%1"/>
      <w:lvlJc w:val="left"/>
      <w:pPr>
        <w:ind w:left="623" w:hanging="425"/>
      </w:pPr>
      <w:rPr>
        <w:rFonts w:hint="eastAsia"/>
      </w:rPr>
    </w:lvl>
    <w:lvl w:ilvl="1" w:tentative="1">
      <w:start w:val="1"/>
      <w:numFmt w:val="decimal"/>
      <w:pStyle w:val="101"/>
      <w:suff w:val="nothing"/>
      <w:lvlText w:val="图%1.%2　"/>
      <w:lvlJc w:val="left"/>
      <w:pPr>
        <w:ind w:left="1190" w:hanging="567"/>
      </w:pPr>
      <w:rPr>
        <w:rFonts w:hint="eastAsia"/>
      </w:rPr>
    </w:lvl>
    <w:lvl w:ilvl="2" w:tentative="1">
      <w:start w:val="1"/>
      <w:numFmt w:val="decimal"/>
      <w:lvlText w:val="%1.%2.%3"/>
      <w:lvlJc w:val="left"/>
      <w:pPr>
        <w:tabs>
          <w:tab w:val="left" w:pos="1616"/>
        </w:tabs>
        <w:ind w:left="1616" w:hanging="567"/>
      </w:pPr>
      <w:rPr>
        <w:rFonts w:hint="eastAsia"/>
      </w:rPr>
    </w:lvl>
    <w:lvl w:ilvl="3" w:tentative="1">
      <w:start w:val="1"/>
      <w:numFmt w:val="decimal"/>
      <w:lvlText w:val="%1.%2.%3.%4"/>
      <w:lvlJc w:val="left"/>
      <w:pPr>
        <w:tabs>
          <w:tab w:val="left" w:pos="2914"/>
        </w:tabs>
        <w:ind w:left="2182" w:hanging="708"/>
      </w:pPr>
      <w:rPr>
        <w:rFonts w:hint="eastAsia"/>
      </w:rPr>
    </w:lvl>
    <w:lvl w:ilvl="4" w:tentative="1">
      <w:start w:val="1"/>
      <w:numFmt w:val="decimal"/>
      <w:lvlText w:val="%1.%2.%3.%4.%5"/>
      <w:lvlJc w:val="left"/>
      <w:pPr>
        <w:tabs>
          <w:tab w:val="left" w:pos="3699"/>
        </w:tabs>
        <w:ind w:left="2749" w:hanging="850"/>
      </w:pPr>
      <w:rPr>
        <w:rFonts w:hint="eastAsia"/>
      </w:rPr>
    </w:lvl>
    <w:lvl w:ilvl="5" w:tentative="1">
      <w:start w:val="1"/>
      <w:numFmt w:val="decimal"/>
      <w:lvlText w:val="%1.%2.%3.%4.%5.%6"/>
      <w:lvlJc w:val="left"/>
      <w:pPr>
        <w:tabs>
          <w:tab w:val="left" w:pos="4484"/>
        </w:tabs>
        <w:ind w:left="3458" w:hanging="1134"/>
      </w:pPr>
      <w:rPr>
        <w:rFonts w:hint="eastAsia"/>
      </w:rPr>
    </w:lvl>
    <w:lvl w:ilvl="6" w:tentative="1">
      <w:start w:val="1"/>
      <w:numFmt w:val="decimal"/>
      <w:lvlText w:val="%1.%2.%3.%4.%5.%6.%7"/>
      <w:lvlJc w:val="left"/>
      <w:pPr>
        <w:tabs>
          <w:tab w:val="left" w:pos="5269"/>
        </w:tabs>
        <w:ind w:left="4025" w:hanging="1276"/>
      </w:pPr>
      <w:rPr>
        <w:rFonts w:hint="eastAsia"/>
      </w:rPr>
    </w:lvl>
    <w:lvl w:ilvl="7" w:tentative="1">
      <w:start w:val="1"/>
      <w:numFmt w:val="decimal"/>
      <w:lvlText w:val="%1.%2.%3.%4.%5.%6.%7.%8"/>
      <w:lvlJc w:val="left"/>
      <w:pPr>
        <w:tabs>
          <w:tab w:val="left" w:pos="6054"/>
        </w:tabs>
        <w:ind w:left="4592" w:hanging="1418"/>
      </w:pPr>
      <w:rPr>
        <w:rFonts w:hint="eastAsia"/>
      </w:rPr>
    </w:lvl>
    <w:lvl w:ilvl="8" w:tentative="1">
      <w:start w:val="1"/>
      <w:numFmt w:val="decimal"/>
      <w:lvlText w:val="%1.%2.%3.%4.%5.%6.%7.%8.%9"/>
      <w:lvlJc w:val="left"/>
      <w:pPr>
        <w:tabs>
          <w:tab w:val="left" w:pos="6840"/>
        </w:tabs>
        <w:ind w:left="5300" w:hanging="1700"/>
      </w:pPr>
      <w:rPr>
        <w:rFonts w:hint="eastAsia"/>
      </w:rPr>
    </w:lvl>
  </w:abstractNum>
  <w:abstractNum w:abstractNumId="499079226">
    <w:nsid w:val="1DBF583A"/>
    <w:multiLevelType w:val="multilevel"/>
    <w:tmpl w:val="1DBF583A"/>
    <w:lvl w:ilvl="0" w:tentative="1">
      <w:start w:val="1"/>
      <w:numFmt w:val="decimal"/>
      <w:pStyle w:val="69"/>
      <w:suff w:val="nothing"/>
      <w:lvlText w:val="注%1："/>
      <w:lvlJc w:val="left"/>
      <w:pPr>
        <w:ind w:left="811" w:hanging="448"/>
      </w:pPr>
      <w:rPr>
        <w:rFonts w:hint="eastAsia" w:ascii="黑体" w:eastAsia="黑体"/>
        <w:b w:val="0"/>
        <w:i w:val="0"/>
        <w:sz w:val="18"/>
        <w:szCs w:val="18"/>
      </w:rPr>
    </w:lvl>
    <w:lvl w:ilvl="1" w:tentative="1">
      <w:start w:val="1"/>
      <w:numFmt w:val="lowerLetter"/>
      <w:lvlText w:val="%2)"/>
      <w:lvlJc w:val="left"/>
      <w:pPr>
        <w:tabs>
          <w:tab w:val="left" w:pos="180"/>
        </w:tabs>
        <w:ind w:left="1172" w:hanging="629"/>
      </w:pPr>
      <w:rPr>
        <w:rFonts w:hint="eastAsia"/>
      </w:rPr>
    </w:lvl>
    <w:lvl w:ilvl="2" w:tentative="1">
      <w:start w:val="1"/>
      <w:numFmt w:val="lowerRoman"/>
      <w:lvlText w:val="%3."/>
      <w:lvlJc w:val="right"/>
      <w:pPr>
        <w:tabs>
          <w:tab w:val="left" w:pos="180"/>
        </w:tabs>
        <w:ind w:left="1172" w:hanging="629"/>
      </w:pPr>
      <w:rPr>
        <w:rFonts w:hint="eastAsia"/>
      </w:rPr>
    </w:lvl>
    <w:lvl w:ilvl="3" w:tentative="1">
      <w:start w:val="1"/>
      <w:numFmt w:val="decimal"/>
      <w:lvlText w:val="%4."/>
      <w:lvlJc w:val="left"/>
      <w:pPr>
        <w:tabs>
          <w:tab w:val="left" w:pos="180"/>
        </w:tabs>
        <w:ind w:left="1172" w:hanging="629"/>
      </w:pPr>
      <w:rPr>
        <w:rFonts w:hint="eastAsia"/>
      </w:rPr>
    </w:lvl>
    <w:lvl w:ilvl="4" w:tentative="1">
      <w:start w:val="1"/>
      <w:numFmt w:val="lowerLetter"/>
      <w:lvlText w:val="%5)"/>
      <w:lvlJc w:val="left"/>
      <w:pPr>
        <w:tabs>
          <w:tab w:val="left" w:pos="180"/>
        </w:tabs>
        <w:ind w:left="1172" w:hanging="629"/>
      </w:pPr>
      <w:rPr>
        <w:rFonts w:hint="eastAsia"/>
      </w:rPr>
    </w:lvl>
    <w:lvl w:ilvl="5" w:tentative="1">
      <w:start w:val="1"/>
      <w:numFmt w:val="lowerRoman"/>
      <w:lvlText w:val="%6."/>
      <w:lvlJc w:val="right"/>
      <w:pPr>
        <w:tabs>
          <w:tab w:val="left" w:pos="180"/>
        </w:tabs>
        <w:ind w:left="1172" w:hanging="629"/>
      </w:pPr>
      <w:rPr>
        <w:rFonts w:hint="eastAsia"/>
      </w:rPr>
    </w:lvl>
    <w:lvl w:ilvl="6" w:tentative="1">
      <w:start w:val="1"/>
      <w:numFmt w:val="decimal"/>
      <w:lvlText w:val="%7."/>
      <w:lvlJc w:val="left"/>
      <w:pPr>
        <w:tabs>
          <w:tab w:val="left" w:pos="180"/>
        </w:tabs>
        <w:ind w:left="1172" w:hanging="629"/>
      </w:pPr>
      <w:rPr>
        <w:rFonts w:hint="eastAsia"/>
      </w:rPr>
    </w:lvl>
    <w:lvl w:ilvl="7" w:tentative="1">
      <w:start w:val="1"/>
      <w:numFmt w:val="lowerLetter"/>
      <w:lvlText w:val="%8)"/>
      <w:lvlJc w:val="left"/>
      <w:pPr>
        <w:tabs>
          <w:tab w:val="left" w:pos="180"/>
        </w:tabs>
        <w:ind w:left="1172" w:hanging="629"/>
      </w:pPr>
      <w:rPr>
        <w:rFonts w:hint="eastAsia"/>
      </w:rPr>
    </w:lvl>
    <w:lvl w:ilvl="8" w:tentative="1">
      <w:start w:val="1"/>
      <w:numFmt w:val="lowerRoman"/>
      <w:lvlText w:val="%9."/>
      <w:lvlJc w:val="right"/>
      <w:pPr>
        <w:tabs>
          <w:tab w:val="left" w:pos="180"/>
        </w:tabs>
        <w:ind w:left="1172" w:hanging="629"/>
      </w:pPr>
      <w:rPr>
        <w:rFonts w:hint="eastAsia"/>
      </w:rPr>
    </w:lvl>
  </w:abstractNum>
  <w:abstractNum w:abstractNumId="1030960664">
    <w:nsid w:val="3D733618"/>
    <w:multiLevelType w:val="multilevel"/>
    <w:tmpl w:val="3D733618"/>
    <w:lvl w:ilvl="0" w:tentative="1">
      <w:start w:val="1"/>
      <w:numFmt w:val="decimal"/>
      <w:pStyle w:val="28"/>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232663878">
    <w:nsid w:val="0DDE2B46"/>
    <w:multiLevelType w:val="multilevel"/>
    <w:tmpl w:val="0DDE2B46"/>
    <w:lvl w:ilvl="0" w:tentative="1">
      <w:start w:val="1"/>
      <w:numFmt w:val="lowerLetter"/>
      <w:pStyle w:val="122"/>
      <w:suff w:val="nothing"/>
      <w:lvlText w:val="%1   "/>
      <w:lvlJc w:val="left"/>
      <w:pPr>
        <w:ind w:left="544" w:hanging="181"/>
      </w:pPr>
      <w:rPr>
        <w:rFonts w:hint="eastAsia" w:ascii="宋体" w:eastAsia="宋体"/>
        <w:b w:val="0"/>
        <w:i w:val="0"/>
        <w:sz w:val="18"/>
        <w:vertAlign w:val="superscript"/>
      </w:rPr>
    </w:lvl>
    <w:lvl w:ilvl="1" w:tentative="1">
      <w:start w:val="1"/>
      <w:numFmt w:val="lowerLetter"/>
      <w:lvlText w:val="%2"/>
      <w:lvlJc w:val="left"/>
      <w:pPr>
        <w:tabs>
          <w:tab w:val="left" w:pos="57"/>
        </w:tabs>
        <w:ind w:left="363" w:hanging="363"/>
      </w:pPr>
      <w:rPr>
        <w:rFonts w:hint="eastAsia"/>
      </w:rPr>
    </w:lvl>
    <w:lvl w:ilvl="2" w:tentative="1">
      <w:start w:val="1"/>
      <w:numFmt w:val="lowerRoman"/>
      <w:lvlText w:val="%3."/>
      <w:lvlJc w:val="right"/>
      <w:pPr>
        <w:tabs>
          <w:tab w:val="left" w:pos="57"/>
        </w:tabs>
        <w:ind w:left="363" w:hanging="363"/>
      </w:pPr>
      <w:rPr>
        <w:rFonts w:hint="eastAsia"/>
      </w:rPr>
    </w:lvl>
    <w:lvl w:ilvl="3" w:tentative="1">
      <w:start w:val="1"/>
      <w:numFmt w:val="decimal"/>
      <w:lvlText w:val="%4."/>
      <w:lvlJc w:val="left"/>
      <w:pPr>
        <w:tabs>
          <w:tab w:val="left" w:pos="57"/>
        </w:tabs>
        <w:ind w:left="363" w:hanging="363"/>
      </w:pPr>
      <w:rPr>
        <w:rFonts w:hint="eastAsia"/>
      </w:rPr>
    </w:lvl>
    <w:lvl w:ilvl="4" w:tentative="1">
      <w:start w:val="1"/>
      <w:numFmt w:val="lowerLetter"/>
      <w:lvlText w:val="%5)"/>
      <w:lvlJc w:val="left"/>
      <w:pPr>
        <w:tabs>
          <w:tab w:val="left" w:pos="57"/>
        </w:tabs>
        <w:ind w:left="363" w:hanging="363"/>
      </w:pPr>
      <w:rPr>
        <w:rFonts w:hint="eastAsia"/>
      </w:rPr>
    </w:lvl>
    <w:lvl w:ilvl="5" w:tentative="1">
      <w:start w:val="1"/>
      <w:numFmt w:val="lowerRoman"/>
      <w:lvlText w:val="%6."/>
      <w:lvlJc w:val="right"/>
      <w:pPr>
        <w:tabs>
          <w:tab w:val="left" w:pos="57"/>
        </w:tabs>
        <w:ind w:left="363" w:hanging="363"/>
      </w:pPr>
      <w:rPr>
        <w:rFonts w:hint="eastAsia"/>
      </w:rPr>
    </w:lvl>
    <w:lvl w:ilvl="6" w:tentative="1">
      <w:start w:val="1"/>
      <w:numFmt w:val="decimal"/>
      <w:lvlText w:val="%7."/>
      <w:lvlJc w:val="left"/>
      <w:pPr>
        <w:tabs>
          <w:tab w:val="left" w:pos="57"/>
        </w:tabs>
        <w:ind w:left="363" w:hanging="363"/>
      </w:pPr>
      <w:rPr>
        <w:rFonts w:hint="eastAsia"/>
      </w:rPr>
    </w:lvl>
    <w:lvl w:ilvl="7" w:tentative="1">
      <w:start w:val="1"/>
      <w:numFmt w:val="lowerLetter"/>
      <w:lvlText w:val="%8)"/>
      <w:lvlJc w:val="left"/>
      <w:pPr>
        <w:tabs>
          <w:tab w:val="left" w:pos="57"/>
        </w:tabs>
        <w:ind w:left="363" w:hanging="363"/>
      </w:pPr>
      <w:rPr>
        <w:rFonts w:hint="eastAsia"/>
      </w:rPr>
    </w:lvl>
    <w:lvl w:ilvl="8" w:tentative="1">
      <w:start w:val="1"/>
      <w:numFmt w:val="lowerRoman"/>
      <w:lvlText w:val="%9."/>
      <w:lvlJc w:val="right"/>
      <w:pPr>
        <w:tabs>
          <w:tab w:val="left" w:pos="57"/>
        </w:tabs>
        <w:ind w:left="363" w:hanging="363"/>
      </w:pPr>
      <w:rPr>
        <w:rFonts w:hint="eastAsia"/>
      </w:rPr>
    </w:lvl>
  </w:abstractNum>
  <w:abstractNum w:abstractNumId="1153765264">
    <w:nsid w:val="44C50F90"/>
    <w:multiLevelType w:val="multilevel"/>
    <w:tmpl w:val="44C50F90"/>
    <w:lvl w:ilvl="0" w:tentative="1">
      <w:start w:val="1"/>
      <w:numFmt w:val="lowerLetter"/>
      <w:pStyle w:val="63"/>
      <w:lvlText w:val="%1)"/>
      <w:lvlJc w:val="left"/>
      <w:pPr>
        <w:tabs>
          <w:tab w:val="left" w:pos="839"/>
        </w:tabs>
        <w:ind w:left="839" w:hanging="419"/>
      </w:pPr>
      <w:rPr>
        <w:rFonts w:hint="eastAsia" w:ascii="宋体" w:hAnsi="宋体" w:eastAsia="宋体"/>
        <w:b w:val="0"/>
        <w:i w:val="0"/>
        <w:sz w:val="20"/>
        <w:szCs w:val="21"/>
      </w:rPr>
    </w:lvl>
    <w:lvl w:ilvl="1" w:tentative="1">
      <w:start w:val="1"/>
      <w:numFmt w:val="decimal"/>
      <w:pStyle w:val="58"/>
      <w:lvlText w:val="%2)"/>
      <w:lvlJc w:val="left"/>
      <w:pPr>
        <w:tabs>
          <w:tab w:val="left" w:pos="1259"/>
        </w:tabs>
        <w:ind w:left="1259" w:hanging="420"/>
      </w:pPr>
      <w:rPr>
        <w:rFonts w:hint="eastAsia" w:ascii="宋体" w:hAnsi="宋体" w:eastAsia="宋体"/>
        <w:b w:val="0"/>
        <w:i w:val="0"/>
        <w:sz w:val="20"/>
      </w:rPr>
    </w:lvl>
    <w:lvl w:ilvl="2" w:tentative="1">
      <w:start w:val="1"/>
      <w:numFmt w:val="decimal"/>
      <w:lvlText w:val="(%3)"/>
      <w:lvlJc w:val="left"/>
      <w:pPr>
        <w:tabs>
          <w:tab w:val="left" w:pos="0"/>
        </w:tabs>
        <w:ind w:left="1678" w:hanging="419"/>
      </w:pPr>
      <w:rPr>
        <w:rFonts w:hint="eastAsia" w:ascii="宋体" w:hAnsi="宋体" w:eastAsia="宋体"/>
        <w:b w:val="0"/>
        <w:i w:val="0"/>
        <w:sz w:val="20"/>
        <w:szCs w:val="21"/>
      </w:rPr>
    </w:lvl>
    <w:lvl w:ilvl="3" w:tentative="1">
      <w:start w:val="1"/>
      <w:numFmt w:val="decimal"/>
      <w:lvlText w:val="%4."/>
      <w:lvlJc w:val="left"/>
      <w:pPr>
        <w:tabs>
          <w:tab w:val="left" w:pos="2098"/>
        </w:tabs>
        <w:ind w:left="2098" w:hanging="420"/>
      </w:pPr>
      <w:rPr>
        <w:rFonts w:hint="eastAsia"/>
      </w:rPr>
    </w:lvl>
    <w:lvl w:ilvl="4" w:tentative="1">
      <w:start w:val="1"/>
      <w:numFmt w:val="lowerLetter"/>
      <w:lvlText w:val="%5)"/>
      <w:lvlJc w:val="left"/>
      <w:pPr>
        <w:tabs>
          <w:tab w:val="left" w:pos="2517"/>
        </w:tabs>
        <w:ind w:left="2517" w:hanging="419"/>
      </w:pPr>
      <w:rPr>
        <w:rFonts w:hint="eastAsia"/>
      </w:rPr>
    </w:lvl>
    <w:lvl w:ilvl="5" w:tentative="1">
      <w:start w:val="1"/>
      <w:numFmt w:val="lowerRoman"/>
      <w:lvlText w:val="%6."/>
      <w:lvlJc w:val="right"/>
      <w:pPr>
        <w:tabs>
          <w:tab w:val="left" w:pos="2942"/>
        </w:tabs>
        <w:ind w:left="2937" w:hanging="420"/>
      </w:pPr>
      <w:rPr>
        <w:rFonts w:hint="eastAsia"/>
      </w:rPr>
    </w:lvl>
    <w:lvl w:ilvl="6" w:tentative="1">
      <w:start w:val="1"/>
      <w:numFmt w:val="decimal"/>
      <w:lvlText w:val="%7."/>
      <w:lvlJc w:val="left"/>
      <w:pPr>
        <w:tabs>
          <w:tab w:val="left" w:pos="3362"/>
        </w:tabs>
        <w:ind w:left="3356" w:hanging="414"/>
      </w:pPr>
      <w:rPr>
        <w:rFonts w:hint="eastAsia"/>
      </w:rPr>
    </w:lvl>
    <w:lvl w:ilvl="7" w:tentative="1">
      <w:start w:val="1"/>
      <w:numFmt w:val="lowerLetter"/>
      <w:lvlText w:val="%8)"/>
      <w:lvlJc w:val="left"/>
      <w:pPr>
        <w:tabs>
          <w:tab w:val="left" w:pos="3781"/>
        </w:tabs>
        <w:ind w:left="3776" w:hanging="414"/>
      </w:pPr>
      <w:rPr>
        <w:rFonts w:hint="eastAsia"/>
      </w:rPr>
    </w:lvl>
    <w:lvl w:ilvl="8" w:tentative="1">
      <w:start w:val="1"/>
      <w:numFmt w:val="lowerRoman"/>
      <w:lvlText w:val="%9."/>
      <w:lvlJc w:val="right"/>
      <w:pPr>
        <w:tabs>
          <w:tab w:val="left" w:pos="4201"/>
        </w:tabs>
        <w:ind w:left="4201" w:hanging="420"/>
      </w:pPr>
      <w:rPr>
        <w:rFonts w:hint="eastAsia"/>
      </w:rPr>
    </w:lvl>
  </w:abstractNum>
  <w:abstractNum w:abstractNumId="1684168954">
    <w:nsid w:val="646260FA"/>
    <w:multiLevelType w:val="multilevel"/>
    <w:tmpl w:val="646260FA"/>
    <w:lvl w:ilvl="0" w:tentative="1">
      <w:start w:val="1"/>
      <w:numFmt w:val="decimal"/>
      <w:pStyle w:val="127"/>
      <w:suff w:val="nothing"/>
      <w:lvlText w:val="表%1　"/>
      <w:lvlJc w:val="left"/>
      <w:pPr>
        <w:ind w:left="3970" w:firstLine="0"/>
      </w:pPr>
      <w:rPr>
        <w:rFonts w:hint="eastAsia" w:ascii="黑体" w:hAnsi="Times New Roman" w:eastAsia="黑体"/>
        <w:b w:val="0"/>
        <w:i w:val="0"/>
        <w:sz w:val="21"/>
      </w:rPr>
    </w:lvl>
    <w:lvl w:ilvl="1" w:tentative="1">
      <w:start w:val="1"/>
      <w:numFmt w:val="decimal"/>
      <w:lvlText w:val="%1.%2"/>
      <w:lvlJc w:val="left"/>
      <w:pPr>
        <w:tabs>
          <w:tab w:val="left" w:pos="425"/>
        </w:tabs>
        <w:ind w:left="425" w:hanging="567"/>
      </w:pPr>
      <w:rPr>
        <w:rFonts w:hint="eastAsia"/>
      </w:rPr>
    </w:lvl>
    <w:lvl w:ilvl="2" w:tentative="1">
      <w:start w:val="1"/>
      <w:numFmt w:val="decimal"/>
      <w:lvlText w:val="%1.%2.%3"/>
      <w:lvlJc w:val="left"/>
      <w:pPr>
        <w:tabs>
          <w:tab w:val="left" w:pos="851"/>
        </w:tabs>
        <w:ind w:left="851" w:hanging="567"/>
      </w:pPr>
      <w:rPr>
        <w:rFonts w:hint="eastAsia"/>
      </w:rPr>
    </w:lvl>
    <w:lvl w:ilvl="3" w:tentative="1">
      <w:start w:val="1"/>
      <w:numFmt w:val="decimal"/>
      <w:lvlText w:val="%1.%2.%3.%4"/>
      <w:lvlJc w:val="left"/>
      <w:pPr>
        <w:tabs>
          <w:tab w:val="left" w:pos="1417"/>
        </w:tabs>
        <w:ind w:left="1417" w:hanging="708"/>
      </w:pPr>
      <w:rPr>
        <w:rFonts w:hint="eastAsia"/>
      </w:rPr>
    </w:lvl>
    <w:lvl w:ilvl="4" w:tentative="1">
      <w:start w:val="1"/>
      <w:numFmt w:val="decimal"/>
      <w:lvlText w:val="%1.%2.%3.%4.%5"/>
      <w:lvlJc w:val="left"/>
      <w:pPr>
        <w:tabs>
          <w:tab w:val="left" w:pos="1984"/>
        </w:tabs>
        <w:ind w:left="1984" w:hanging="850"/>
      </w:pPr>
      <w:rPr>
        <w:rFonts w:hint="eastAsia"/>
      </w:rPr>
    </w:lvl>
    <w:lvl w:ilvl="5" w:tentative="1">
      <w:start w:val="1"/>
      <w:numFmt w:val="decimal"/>
      <w:lvlText w:val="%1.%2.%3.%4.%5.%6"/>
      <w:lvlJc w:val="left"/>
      <w:pPr>
        <w:tabs>
          <w:tab w:val="left" w:pos="2693"/>
        </w:tabs>
        <w:ind w:left="2693" w:hanging="1134"/>
      </w:pPr>
      <w:rPr>
        <w:rFonts w:hint="eastAsia"/>
      </w:rPr>
    </w:lvl>
    <w:lvl w:ilvl="6" w:tentative="1">
      <w:start w:val="1"/>
      <w:numFmt w:val="decimal"/>
      <w:lvlText w:val="%1.%2.%3.%4.%5.%6.%7"/>
      <w:lvlJc w:val="left"/>
      <w:pPr>
        <w:tabs>
          <w:tab w:val="left" w:pos="3260"/>
        </w:tabs>
        <w:ind w:left="3260" w:hanging="1276"/>
      </w:pPr>
      <w:rPr>
        <w:rFonts w:hint="eastAsia"/>
      </w:rPr>
    </w:lvl>
    <w:lvl w:ilvl="7" w:tentative="1">
      <w:start w:val="1"/>
      <w:numFmt w:val="decimal"/>
      <w:lvlText w:val="%1.%2.%3.%4.%5.%6.%7.%8"/>
      <w:lvlJc w:val="left"/>
      <w:pPr>
        <w:tabs>
          <w:tab w:val="left" w:pos="3827"/>
        </w:tabs>
        <w:ind w:left="3827" w:hanging="1418"/>
      </w:pPr>
      <w:rPr>
        <w:rFonts w:hint="eastAsia"/>
      </w:rPr>
    </w:lvl>
    <w:lvl w:ilvl="8" w:tentative="1">
      <w:start w:val="1"/>
      <w:numFmt w:val="decimal"/>
      <w:lvlText w:val="%1.%2.%3.%4.%5.%6.%7.%8.%9"/>
      <w:lvlJc w:val="left"/>
      <w:pPr>
        <w:tabs>
          <w:tab w:val="left" w:pos="4535"/>
        </w:tabs>
        <w:ind w:left="4535" w:hanging="1700"/>
      </w:pPr>
      <w:rPr>
        <w:rFonts w:hint="eastAsia"/>
      </w:rPr>
    </w:lvl>
  </w:abstractNum>
  <w:abstractNum w:abstractNumId="1434200821">
    <w:nsid w:val="557C2AF5"/>
    <w:multiLevelType w:val="multilevel"/>
    <w:tmpl w:val="557C2AF5"/>
    <w:lvl w:ilvl="0" w:tentative="1">
      <w:start w:val="1"/>
      <w:numFmt w:val="decimal"/>
      <w:pStyle w:val="129"/>
      <w:suff w:val="nothing"/>
      <w:lvlText w:val="图%1　"/>
      <w:lvlJc w:val="left"/>
      <w:pPr>
        <w:ind w:left="0" w:firstLine="0"/>
      </w:pPr>
      <w:rPr>
        <w:rFonts w:hint="eastAsia" w:ascii="黑体" w:hAnsi="Times New Roman" w:eastAsia="黑体"/>
        <w:b w:val="0"/>
        <w:i w:val="0"/>
        <w:sz w:val="21"/>
      </w:rPr>
    </w:lvl>
    <w:lvl w:ilvl="1" w:tentative="1">
      <w:start w:val="1"/>
      <w:numFmt w:val="decimal"/>
      <w:suff w:val="nothing"/>
      <w:lvlText w:val="%1%2　"/>
      <w:lvlJc w:val="left"/>
      <w:pPr>
        <w:ind w:left="0" w:firstLine="0"/>
      </w:pPr>
      <w:rPr>
        <w:rFonts w:hint="default" w:ascii="Times New Roman" w:hAnsi="Times New Roman" w:eastAsia="黑体"/>
        <w:b w:val="0"/>
        <w:i w:val="0"/>
        <w:sz w:val="21"/>
      </w:rPr>
    </w:lvl>
    <w:lvl w:ilvl="2" w:tentative="1">
      <w:start w:val="1"/>
      <w:numFmt w:val="decimal"/>
      <w:suff w:val="nothing"/>
      <w:lvlText w:val="%1%2.%3　"/>
      <w:lvlJc w:val="left"/>
      <w:pPr>
        <w:ind w:left="0" w:firstLine="0"/>
      </w:pPr>
      <w:rPr>
        <w:rFonts w:hint="default" w:ascii="Times New Roman" w:hAnsi="Times New Roman" w:eastAsia="黑体"/>
        <w:b w:val="0"/>
        <w:i w:val="0"/>
        <w:sz w:val="21"/>
      </w:rPr>
    </w:lvl>
    <w:lvl w:ilvl="3" w:tentative="1">
      <w:start w:val="1"/>
      <w:numFmt w:val="decimal"/>
      <w:suff w:val="nothing"/>
      <w:lvlText w:val="%1%2.%3.%4　"/>
      <w:lvlJc w:val="left"/>
      <w:pPr>
        <w:ind w:left="0" w:firstLine="0"/>
      </w:pPr>
      <w:rPr>
        <w:rFonts w:hint="default" w:ascii="Times New Roman" w:hAnsi="Times New Roman" w:eastAsia="黑体"/>
        <w:b w:val="0"/>
        <w:i w:val="0"/>
        <w:sz w:val="21"/>
      </w:rPr>
    </w:lvl>
    <w:lvl w:ilvl="4" w:tentative="1">
      <w:start w:val="1"/>
      <w:numFmt w:val="decimal"/>
      <w:suff w:val="nothing"/>
      <w:lvlText w:val="%1%2.%3.%4.%5　"/>
      <w:lvlJc w:val="left"/>
      <w:pPr>
        <w:ind w:left="0" w:firstLine="0"/>
      </w:pPr>
      <w:rPr>
        <w:rFonts w:hint="default" w:ascii="Times New Roman" w:hAnsi="Times New Roman" w:eastAsia="黑体"/>
        <w:b w:val="0"/>
        <w:i w:val="0"/>
        <w:sz w:val="21"/>
      </w:rPr>
    </w:lvl>
    <w:lvl w:ilvl="5" w:tentative="1">
      <w:start w:val="1"/>
      <w:numFmt w:val="decimal"/>
      <w:suff w:val="nothing"/>
      <w:lvlText w:val="%1%2.%3.%4.%5.%6　"/>
      <w:lvlJc w:val="left"/>
      <w:pPr>
        <w:ind w:left="0" w:firstLine="0"/>
      </w:pPr>
      <w:rPr>
        <w:rFonts w:hint="default" w:ascii="Times New Roman" w:hAnsi="Times New Roman" w:eastAsia="黑体"/>
        <w:b w:val="0"/>
        <w:i w:val="0"/>
        <w:sz w:val="21"/>
      </w:rPr>
    </w:lvl>
    <w:lvl w:ilvl="6" w:tentative="1">
      <w:start w:val="1"/>
      <w:numFmt w:val="decimal"/>
      <w:suff w:val="nothing"/>
      <w:lvlText w:val="%1%2.%3.%4.%5.%6.%7　"/>
      <w:lvlJc w:val="left"/>
      <w:pPr>
        <w:ind w:left="0" w:firstLine="0"/>
      </w:pPr>
      <w:rPr>
        <w:rFonts w:hint="default" w:ascii="Times New Roman"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941108569">
    <w:nsid w:val="38182D59"/>
    <w:multiLevelType w:val="multilevel"/>
    <w:tmpl w:val="38182D59"/>
    <w:lvl w:ilvl="0" w:tentative="1">
      <w:start w:val="1"/>
      <w:numFmt w:val="lowerLetter"/>
      <w:lvlText w:val="%1)"/>
      <w:lvlJc w:val="left"/>
      <w:pPr>
        <w:ind w:left="1155" w:hanging="735"/>
      </w:pPr>
      <w:rPr>
        <w:rFonts w:hint="default"/>
        <w:color w:val="auto"/>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1030960664"/>
  </w:num>
  <w:num w:numId="2">
    <w:abstractNumId w:val="533270883"/>
  </w:num>
  <w:num w:numId="3">
    <w:abstractNumId w:val="744036291"/>
  </w:num>
  <w:num w:numId="4">
    <w:abstractNumId w:val="182675433"/>
  </w:num>
  <w:num w:numId="5">
    <w:abstractNumId w:val="1153765264"/>
  </w:num>
  <w:num w:numId="6">
    <w:abstractNumId w:val="1841235188"/>
  </w:num>
  <w:num w:numId="7">
    <w:abstractNumId w:val="126943917"/>
  </w:num>
  <w:num w:numId="8">
    <w:abstractNumId w:val="1265842783"/>
  </w:num>
  <w:num w:numId="9">
    <w:abstractNumId w:val="499079226"/>
  </w:num>
  <w:num w:numId="10">
    <w:abstractNumId w:val="1702707132"/>
  </w:num>
  <w:num w:numId="11">
    <w:abstractNumId w:val="1622498754"/>
  </w:num>
  <w:num w:numId="12">
    <w:abstractNumId w:val="1835796429"/>
  </w:num>
  <w:num w:numId="13">
    <w:abstractNumId w:val="714043667"/>
  </w:num>
  <w:num w:numId="14">
    <w:abstractNumId w:val="154953592"/>
  </w:num>
  <w:num w:numId="15">
    <w:abstractNumId w:val="232663878"/>
  </w:num>
  <w:num w:numId="16">
    <w:abstractNumId w:val="1684168954"/>
  </w:num>
  <w:num w:numId="17">
    <w:abstractNumId w:val="1434200821"/>
  </w:num>
  <w:num w:numId="18">
    <w:abstractNumId w:val="9411085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D0C14"/>
    <w:rsid w:val="00000201"/>
    <w:rsid w:val="00000244"/>
    <w:rsid w:val="0000185F"/>
    <w:rsid w:val="00003232"/>
    <w:rsid w:val="00003707"/>
    <w:rsid w:val="00004671"/>
    <w:rsid w:val="000048F7"/>
    <w:rsid w:val="0000549C"/>
    <w:rsid w:val="0000586F"/>
    <w:rsid w:val="00010998"/>
    <w:rsid w:val="0001109A"/>
    <w:rsid w:val="000113F6"/>
    <w:rsid w:val="00012244"/>
    <w:rsid w:val="00013D86"/>
    <w:rsid w:val="00013E02"/>
    <w:rsid w:val="000144A6"/>
    <w:rsid w:val="00014827"/>
    <w:rsid w:val="00014D2C"/>
    <w:rsid w:val="0001517B"/>
    <w:rsid w:val="00015DB4"/>
    <w:rsid w:val="00016122"/>
    <w:rsid w:val="00017F92"/>
    <w:rsid w:val="000202FC"/>
    <w:rsid w:val="000208D8"/>
    <w:rsid w:val="0002143C"/>
    <w:rsid w:val="0002158E"/>
    <w:rsid w:val="00024685"/>
    <w:rsid w:val="000246F3"/>
    <w:rsid w:val="00024E7E"/>
    <w:rsid w:val="00025A65"/>
    <w:rsid w:val="00026716"/>
    <w:rsid w:val="00026C31"/>
    <w:rsid w:val="00027280"/>
    <w:rsid w:val="00030186"/>
    <w:rsid w:val="00030CAE"/>
    <w:rsid w:val="00030FA9"/>
    <w:rsid w:val="000316D4"/>
    <w:rsid w:val="00031A63"/>
    <w:rsid w:val="000320A7"/>
    <w:rsid w:val="000323A9"/>
    <w:rsid w:val="00033F77"/>
    <w:rsid w:val="00034616"/>
    <w:rsid w:val="00035851"/>
    <w:rsid w:val="00035925"/>
    <w:rsid w:val="00036E08"/>
    <w:rsid w:val="000376E6"/>
    <w:rsid w:val="00037BAE"/>
    <w:rsid w:val="00040643"/>
    <w:rsid w:val="00043933"/>
    <w:rsid w:val="00044829"/>
    <w:rsid w:val="00044B04"/>
    <w:rsid w:val="00044C91"/>
    <w:rsid w:val="000467F1"/>
    <w:rsid w:val="00046E00"/>
    <w:rsid w:val="000472BC"/>
    <w:rsid w:val="00047A38"/>
    <w:rsid w:val="0005178F"/>
    <w:rsid w:val="000523B7"/>
    <w:rsid w:val="00057F8E"/>
    <w:rsid w:val="000607CD"/>
    <w:rsid w:val="000607E8"/>
    <w:rsid w:val="00060CD3"/>
    <w:rsid w:val="000611EA"/>
    <w:rsid w:val="000614CF"/>
    <w:rsid w:val="00064A23"/>
    <w:rsid w:val="00064E31"/>
    <w:rsid w:val="00064E61"/>
    <w:rsid w:val="00066D29"/>
    <w:rsid w:val="00067CDF"/>
    <w:rsid w:val="00067D13"/>
    <w:rsid w:val="00070073"/>
    <w:rsid w:val="0007031A"/>
    <w:rsid w:val="000713AE"/>
    <w:rsid w:val="0007310A"/>
    <w:rsid w:val="000739E4"/>
    <w:rsid w:val="00074DAB"/>
    <w:rsid w:val="00074FBE"/>
    <w:rsid w:val="000810D5"/>
    <w:rsid w:val="00081A7F"/>
    <w:rsid w:val="00081FB9"/>
    <w:rsid w:val="0008224D"/>
    <w:rsid w:val="00083A09"/>
    <w:rsid w:val="00084A14"/>
    <w:rsid w:val="000854C7"/>
    <w:rsid w:val="00085981"/>
    <w:rsid w:val="00085B34"/>
    <w:rsid w:val="00086188"/>
    <w:rsid w:val="0009005E"/>
    <w:rsid w:val="0009080C"/>
    <w:rsid w:val="0009136C"/>
    <w:rsid w:val="000913F2"/>
    <w:rsid w:val="0009159A"/>
    <w:rsid w:val="000919F4"/>
    <w:rsid w:val="00091C09"/>
    <w:rsid w:val="000926ED"/>
    <w:rsid w:val="00092857"/>
    <w:rsid w:val="00092AED"/>
    <w:rsid w:val="00092FFA"/>
    <w:rsid w:val="000933F7"/>
    <w:rsid w:val="00093D2C"/>
    <w:rsid w:val="000950D8"/>
    <w:rsid w:val="0009511C"/>
    <w:rsid w:val="00095502"/>
    <w:rsid w:val="00096424"/>
    <w:rsid w:val="000978FB"/>
    <w:rsid w:val="000A1795"/>
    <w:rsid w:val="000A20A9"/>
    <w:rsid w:val="000A24A4"/>
    <w:rsid w:val="000A3660"/>
    <w:rsid w:val="000A41B3"/>
    <w:rsid w:val="000A48B1"/>
    <w:rsid w:val="000A7D4E"/>
    <w:rsid w:val="000B0B40"/>
    <w:rsid w:val="000B0D5A"/>
    <w:rsid w:val="000B1CCA"/>
    <w:rsid w:val="000B3143"/>
    <w:rsid w:val="000B38CA"/>
    <w:rsid w:val="000B71AF"/>
    <w:rsid w:val="000B7956"/>
    <w:rsid w:val="000C2D1F"/>
    <w:rsid w:val="000C5089"/>
    <w:rsid w:val="000C5ED9"/>
    <w:rsid w:val="000C69E9"/>
    <w:rsid w:val="000C6B05"/>
    <w:rsid w:val="000C6DD6"/>
    <w:rsid w:val="000C73D4"/>
    <w:rsid w:val="000D24B8"/>
    <w:rsid w:val="000D372A"/>
    <w:rsid w:val="000D3970"/>
    <w:rsid w:val="000D3D4C"/>
    <w:rsid w:val="000D4439"/>
    <w:rsid w:val="000D4529"/>
    <w:rsid w:val="000D4E27"/>
    <w:rsid w:val="000D4F51"/>
    <w:rsid w:val="000D5574"/>
    <w:rsid w:val="000D5BFF"/>
    <w:rsid w:val="000D718B"/>
    <w:rsid w:val="000D748C"/>
    <w:rsid w:val="000D7C58"/>
    <w:rsid w:val="000E0430"/>
    <w:rsid w:val="000E0C46"/>
    <w:rsid w:val="000E20A8"/>
    <w:rsid w:val="000E294D"/>
    <w:rsid w:val="000E34D3"/>
    <w:rsid w:val="000E39C1"/>
    <w:rsid w:val="000E4BB6"/>
    <w:rsid w:val="000E541B"/>
    <w:rsid w:val="000E5429"/>
    <w:rsid w:val="000E7199"/>
    <w:rsid w:val="000F030C"/>
    <w:rsid w:val="000F129C"/>
    <w:rsid w:val="000F28C1"/>
    <w:rsid w:val="000F39A1"/>
    <w:rsid w:val="000F5655"/>
    <w:rsid w:val="00100B93"/>
    <w:rsid w:val="00101CDC"/>
    <w:rsid w:val="001038D3"/>
    <w:rsid w:val="0010397E"/>
    <w:rsid w:val="001043BD"/>
    <w:rsid w:val="001056DE"/>
    <w:rsid w:val="00105735"/>
    <w:rsid w:val="00106208"/>
    <w:rsid w:val="00107E0D"/>
    <w:rsid w:val="0011154E"/>
    <w:rsid w:val="00111A2E"/>
    <w:rsid w:val="001124C0"/>
    <w:rsid w:val="00112CE9"/>
    <w:rsid w:val="001130E7"/>
    <w:rsid w:val="00113113"/>
    <w:rsid w:val="001131A9"/>
    <w:rsid w:val="00116CFC"/>
    <w:rsid w:val="00122F25"/>
    <w:rsid w:val="00122FE2"/>
    <w:rsid w:val="00123EDA"/>
    <w:rsid w:val="00123F99"/>
    <w:rsid w:val="001246E6"/>
    <w:rsid w:val="001251FA"/>
    <w:rsid w:val="001257F0"/>
    <w:rsid w:val="00125AE8"/>
    <w:rsid w:val="00127E0B"/>
    <w:rsid w:val="001301F8"/>
    <w:rsid w:val="0013175F"/>
    <w:rsid w:val="00132761"/>
    <w:rsid w:val="00133617"/>
    <w:rsid w:val="00133DF5"/>
    <w:rsid w:val="001341A6"/>
    <w:rsid w:val="0013425B"/>
    <w:rsid w:val="00135C04"/>
    <w:rsid w:val="001363B9"/>
    <w:rsid w:val="00136452"/>
    <w:rsid w:val="00137B46"/>
    <w:rsid w:val="001404B1"/>
    <w:rsid w:val="00140ED7"/>
    <w:rsid w:val="00141C05"/>
    <w:rsid w:val="00143357"/>
    <w:rsid w:val="0014385E"/>
    <w:rsid w:val="0015034A"/>
    <w:rsid w:val="0015087D"/>
    <w:rsid w:val="0015109E"/>
    <w:rsid w:val="001512B4"/>
    <w:rsid w:val="00152737"/>
    <w:rsid w:val="00153394"/>
    <w:rsid w:val="001535E7"/>
    <w:rsid w:val="0015435B"/>
    <w:rsid w:val="00154A88"/>
    <w:rsid w:val="00155397"/>
    <w:rsid w:val="00155FEC"/>
    <w:rsid w:val="001620A5"/>
    <w:rsid w:val="00162D7C"/>
    <w:rsid w:val="00162E7A"/>
    <w:rsid w:val="0016367C"/>
    <w:rsid w:val="001636FE"/>
    <w:rsid w:val="00164E53"/>
    <w:rsid w:val="0016570A"/>
    <w:rsid w:val="0016699D"/>
    <w:rsid w:val="00175159"/>
    <w:rsid w:val="00175441"/>
    <w:rsid w:val="00176208"/>
    <w:rsid w:val="00176B84"/>
    <w:rsid w:val="00181E72"/>
    <w:rsid w:val="0018211B"/>
    <w:rsid w:val="001829DB"/>
    <w:rsid w:val="001840D3"/>
    <w:rsid w:val="0018626E"/>
    <w:rsid w:val="0018687A"/>
    <w:rsid w:val="001900F8"/>
    <w:rsid w:val="00190840"/>
    <w:rsid w:val="00191258"/>
    <w:rsid w:val="00191F3F"/>
    <w:rsid w:val="00192680"/>
    <w:rsid w:val="0019295B"/>
    <w:rsid w:val="00192A9F"/>
    <w:rsid w:val="00193037"/>
    <w:rsid w:val="00193A2C"/>
    <w:rsid w:val="001975B4"/>
    <w:rsid w:val="001A0451"/>
    <w:rsid w:val="001A07D8"/>
    <w:rsid w:val="001A0FFD"/>
    <w:rsid w:val="001A288E"/>
    <w:rsid w:val="001A3A35"/>
    <w:rsid w:val="001A3EAD"/>
    <w:rsid w:val="001A4882"/>
    <w:rsid w:val="001A4D19"/>
    <w:rsid w:val="001A721B"/>
    <w:rsid w:val="001A7A0E"/>
    <w:rsid w:val="001B1058"/>
    <w:rsid w:val="001B12F2"/>
    <w:rsid w:val="001B5B26"/>
    <w:rsid w:val="001B6DC2"/>
    <w:rsid w:val="001C0821"/>
    <w:rsid w:val="001C149C"/>
    <w:rsid w:val="001C21AC"/>
    <w:rsid w:val="001C26AB"/>
    <w:rsid w:val="001C35B6"/>
    <w:rsid w:val="001C4194"/>
    <w:rsid w:val="001C44E1"/>
    <w:rsid w:val="001C47BA"/>
    <w:rsid w:val="001C59EA"/>
    <w:rsid w:val="001C5BC0"/>
    <w:rsid w:val="001C6B7E"/>
    <w:rsid w:val="001D0DB2"/>
    <w:rsid w:val="001D1C9B"/>
    <w:rsid w:val="001D2792"/>
    <w:rsid w:val="001D2D9B"/>
    <w:rsid w:val="001D2E15"/>
    <w:rsid w:val="001D406C"/>
    <w:rsid w:val="001D41EE"/>
    <w:rsid w:val="001D51CC"/>
    <w:rsid w:val="001D7011"/>
    <w:rsid w:val="001E0380"/>
    <w:rsid w:val="001E13B1"/>
    <w:rsid w:val="001E1C2E"/>
    <w:rsid w:val="001E2D27"/>
    <w:rsid w:val="001E3C32"/>
    <w:rsid w:val="001E559E"/>
    <w:rsid w:val="001E59AB"/>
    <w:rsid w:val="001E5E75"/>
    <w:rsid w:val="001E6081"/>
    <w:rsid w:val="001E6112"/>
    <w:rsid w:val="001E7A6C"/>
    <w:rsid w:val="001F1A40"/>
    <w:rsid w:val="001F32F2"/>
    <w:rsid w:val="001F3A0C"/>
    <w:rsid w:val="001F3A19"/>
    <w:rsid w:val="001F4865"/>
    <w:rsid w:val="001F68C4"/>
    <w:rsid w:val="00200257"/>
    <w:rsid w:val="0020168D"/>
    <w:rsid w:val="0020388D"/>
    <w:rsid w:val="00203D76"/>
    <w:rsid w:val="00204E61"/>
    <w:rsid w:val="00204F90"/>
    <w:rsid w:val="00205801"/>
    <w:rsid w:val="00206210"/>
    <w:rsid w:val="00207200"/>
    <w:rsid w:val="00207460"/>
    <w:rsid w:val="00207DFF"/>
    <w:rsid w:val="00207EBE"/>
    <w:rsid w:val="00210317"/>
    <w:rsid w:val="002105DC"/>
    <w:rsid w:val="00211736"/>
    <w:rsid w:val="00212C4C"/>
    <w:rsid w:val="002131DC"/>
    <w:rsid w:val="00216CE3"/>
    <w:rsid w:val="00217BCD"/>
    <w:rsid w:val="00222C15"/>
    <w:rsid w:val="002232CD"/>
    <w:rsid w:val="0022363E"/>
    <w:rsid w:val="00226162"/>
    <w:rsid w:val="0023079A"/>
    <w:rsid w:val="00231A07"/>
    <w:rsid w:val="00232295"/>
    <w:rsid w:val="00233476"/>
    <w:rsid w:val="00233F6E"/>
    <w:rsid w:val="00234467"/>
    <w:rsid w:val="0023581B"/>
    <w:rsid w:val="00235B9C"/>
    <w:rsid w:val="00236CCA"/>
    <w:rsid w:val="00237D8D"/>
    <w:rsid w:val="002408F1"/>
    <w:rsid w:val="00240D28"/>
    <w:rsid w:val="0024121A"/>
    <w:rsid w:val="00241DA2"/>
    <w:rsid w:val="00241E1D"/>
    <w:rsid w:val="00243857"/>
    <w:rsid w:val="0024502A"/>
    <w:rsid w:val="0024672E"/>
    <w:rsid w:val="00247FED"/>
    <w:rsid w:val="00247FEE"/>
    <w:rsid w:val="00250E7D"/>
    <w:rsid w:val="002532A3"/>
    <w:rsid w:val="002536FA"/>
    <w:rsid w:val="002565D5"/>
    <w:rsid w:val="00256CEE"/>
    <w:rsid w:val="00257FEC"/>
    <w:rsid w:val="00260532"/>
    <w:rsid w:val="002622C0"/>
    <w:rsid w:val="0026320E"/>
    <w:rsid w:val="0026360D"/>
    <w:rsid w:val="00263791"/>
    <w:rsid w:val="00263E7B"/>
    <w:rsid w:val="0026450B"/>
    <w:rsid w:val="00270AA6"/>
    <w:rsid w:val="00270B44"/>
    <w:rsid w:val="00272152"/>
    <w:rsid w:val="00273B83"/>
    <w:rsid w:val="0027637D"/>
    <w:rsid w:val="002778AE"/>
    <w:rsid w:val="00280641"/>
    <w:rsid w:val="00280660"/>
    <w:rsid w:val="00280FA9"/>
    <w:rsid w:val="00281A54"/>
    <w:rsid w:val="00281E00"/>
    <w:rsid w:val="0028269A"/>
    <w:rsid w:val="00282D8F"/>
    <w:rsid w:val="00283590"/>
    <w:rsid w:val="00285040"/>
    <w:rsid w:val="00286973"/>
    <w:rsid w:val="00286F94"/>
    <w:rsid w:val="0029150E"/>
    <w:rsid w:val="00293C46"/>
    <w:rsid w:val="0029406D"/>
    <w:rsid w:val="00294E70"/>
    <w:rsid w:val="00296168"/>
    <w:rsid w:val="002973D4"/>
    <w:rsid w:val="002A0609"/>
    <w:rsid w:val="002A1924"/>
    <w:rsid w:val="002A1E4F"/>
    <w:rsid w:val="002A411E"/>
    <w:rsid w:val="002A44A7"/>
    <w:rsid w:val="002A66F1"/>
    <w:rsid w:val="002A6761"/>
    <w:rsid w:val="002A6863"/>
    <w:rsid w:val="002A7420"/>
    <w:rsid w:val="002A74D2"/>
    <w:rsid w:val="002A7970"/>
    <w:rsid w:val="002A7F89"/>
    <w:rsid w:val="002B03C2"/>
    <w:rsid w:val="002B0F12"/>
    <w:rsid w:val="002B1308"/>
    <w:rsid w:val="002B1438"/>
    <w:rsid w:val="002B24D2"/>
    <w:rsid w:val="002B2552"/>
    <w:rsid w:val="002B3052"/>
    <w:rsid w:val="002B389E"/>
    <w:rsid w:val="002B4554"/>
    <w:rsid w:val="002B6152"/>
    <w:rsid w:val="002B728B"/>
    <w:rsid w:val="002C093E"/>
    <w:rsid w:val="002C2AA3"/>
    <w:rsid w:val="002C39A4"/>
    <w:rsid w:val="002C5EBB"/>
    <w:rsid w:val="002C72D8"/>
    <w:rsid w:val="002C7DF7"/>
    <w:rsid w:val="002D01E4"/>
    <w:rsid w:val="002D11FA"/>
    <w:rsid w:val="002D5483"/>
    <w:rsid w:val="002D64D3"/>
    <w:rsid w:val="002E0DDF"/>
    <w:rsid w:val="002E1B29"/>
    <w:rsid w:val="002E1DC2"/>
    <w:rsid w:val="002E2906"/>
    <w:rsid w:val="002E321A"/>
    <w:rsid w:val="002E3823"/>
    <w:rsid w:val="002E390D"/>
    <w:rsid w:val="002E4547"/>
    <w:rsid w:val="002E4F74"/>
    <w:rsid w:val="002E562D"/>
    <w:rsid w:val="002E5635"/>
    <w:rsid w:val="002E563B"/>
    <w:rsid w:val="002E5C68"/>
    <w:rsid w:val="002E5CDA"/>
    <w:rsid w:val="002E5FAA"/>
    <w:rsid w:val="002E64C3"/>
    <w:rsid w:val="002E6A2C"/>
    <w:rsid w:val="002F1099"/>
    <w:rsid w:val="002F1D8C"/>
    <w:rsid w:val="002F2086"/>
    <w:rsid w:val="002F21DA"/>
    <w:rsid w:val="002F43A2"/>
    <w:rsid w:val="002F653B"/>
    <w:rsid w:val="002F75CA"/>
    <w:rsid w:val="0030065A"/>
    <w:rsid w:val="00300A01"/>
    <w:rsid w:val="00301F39"/>
    <w:rsid w:val="0030249C"/>
    <w:rsid w:val="0030401B"/>
    <w:rsid w:val="003064FB"/>
    <w:rsid w:val="00310002"/>
    <w:rsid w:val="00311886"/>
    <w:rsid w:val="00312154"/>
    <w:rsid w:val="00315248"/>
    <w:rsid w:val="0031593F"/>
    <w:rsid w:val="003201B9"/>
    <w:rsid w:val="003228E3"/>
    <w:rsid w:val="003231A6"/>
    <w:rsid w:val="003239E4"/>
    <w:rsid w:val="00324756"/>
    <w:rsid w:val="00325926"/>
    <w:rsid w:val="00326143"/>
    <w:rsid w:val="00327A8A"/>
    <w:rsid w:val="003301C9"/>
    <w:rsid w:val="003310C3"/>
    <w:rsid w:val="0033116F"/>
    <w:rsid w:val="003313C9"/>
    <w:rsid w:val="0033148B"/>
    <w:rsid w:val="003314C7"/>
    <w:rsid w:val="00331CE3"/>
    <w:rsid w:val="0033421B"/>
    <w:rsid w:val="00335785"/>
    <w:rsid w:val="00336610"/>
    <w:rsid w:val="00336D06"/>
    <w:rsid w:val="00337093"/>
    <w:rsid w:val="00337969"/>
    <w:rsid w:val="00341AC8"/>
    <w:rsid w:val="00342643"/>
    <w:rsid w:val="00342FF3"/>
    <w:rsid w:val="00343845"/>
    <w:rsid w:val="00343F73"/>
    <w:rsid w:val="00345060"/>
    <w:rsid w:val="00346091"/>
    <w:rsid w:val="00347056"/>
    <w:rsid w:val="003474E5"/>
    <w:rsid w:val="003516E2"/>
    <w:rsid w:val="00351CA0"/>
    <w:rsid w:val="003521AF"/>
    <w:rsid w:val="0035323B"/>
    <w:rsid w:val="00353C91"/>
    <w:rsid w:val="00354E34"/>
    <w:rsid w:val="00360399"/>
    <w:rsid w:val="003609D2"/>
    <w:rsid w:val="00360CA9"/>
    <w:rsid w:val="00362567"/>
    <w:rsid w:val="00362ADE"/>
    <w:rsid w:val="00362CFB"/>
    <w:rsid w:val="0036318B"/>
    <w:rsid w:val="00363249"/>
    <w:rsid w:val="00363F22"/>
    <w:rsid w:val="00364DF9"/>
    <w:rsid w:val="00365198"/>
    <w:rsid w:val="00372082"/>
    <w:rsid w:val="003726C7"/>
    <w:rsid w:val="003732CC"/>
    <w:rsid w:val="00373E78"/>
    <w:rsid w:val="00374AFE"/>
    <w:rsid w:val="00375564"/>
    <w:rsid w:val="0037586B"/>
    <w:rsid w:val="003759EE"/>
    <w:rsid w:val="00376646"/>
    <w:rsid w:val="003769DA"/>
    <w:rsid w:val="00380303"/>
    <w:rsid w:val="00380CCD"/>
    <w:rsid w:val="003822D6"/>
    <w:rsid w:val="00383191"/>
    <w:rsid w:val="00384A92"/>
    <w:rsid w:val="0038575D"/>
    <w:rsid w:val="00385CA1"/>
    <w:rsid w:val="00386803"/>
    <w:rsid w:val="00386DED"/>
    <w:rsid w:val="003873AC"/>
    <w:rsid w:val="00387A65"/>
    <w:rsid w:val="00387A84"/>
    <w:rsid w:val="003912E7"/>
    <w:rsid w:val="00392D19"/>
    <w:rsid w:val="00392F24"/>
    <w:rsid w:val="00393947"/>
    <w:rsid w:val="00393CDE"/>
    <w:rsid w:val="0039609C"/>
    <w:rsid w:val="00396E52"/>
    <w:rsid w:val="00397D92"/>
    <w:rsid w:val="003A08C6"/>
    <w:rsid w:val="003A1CF8"/>
    <w:rsid w:val="003A2275"/>
    <w:rsid w:val="003A2BB1"/>
    <w:rsid w:val="003A2D63"/>
    <w:rsid w:val="003A3FF9"/>
    <w:rsid w:val="003A41C9"/>
    <w:rsid w:val="003A5473"/>
    <w:rsid w:val="003A67E1"/>
    <w:rsid w:val="003A6A39"/>
    <w:rsid w:val="003A6A4F"/>
    <w:rsid w:val="003A7088"/>
    <w:rsid w:val="003A73D1"/>
    <w:rsid w:val="003B00DF"/>
    <w:rsid w:val="003B037D"/>
    <w:rsid w:val="003B1275"/>
    <w:rsid w:val="003B1778"/>
    <w:rsid w:val="003B3C74"/>
    <w:rsid w:val="003B4E1E"/>
    <w:rsid w:val="003B60FF"/>
    <w:rsid w:val="003B709D"/>
    <w:rsid w:val="003C00CA"/>
    <w:rsid w:val="003C0627"/>
    <w:rsid w:val="003C07D4"/>
    <w:rsid w:val="003C0B32"/>
    <w:rsid w:val="003C11CB"/>
    <w:rsid w:val="003C1A87"/>
    <w:rsid w:val="003C1BA0"/>
    <w:rsid w:val="003C3619"/>
    <w:rsid w:val="003C3E55"/>
    <w:rsid w:val="003C720E"/>
    <w:rsid w:val="003C75F3"/>
    <w:rsid w:val="003C78A3"/>
    <w:rsid w:val="003C7FC4"/>
    <w:rsid w:val="003D02B4"/>
    <w:rsid w:val="003D0FF8"/>
    <w:rsid w:val="003D2CB4"/>
    <w:rsid w:val="003D3C0A"/>
    <w:rsid w:val="003D41DA"/>
    <w:rsid w:val="003D5DAC"/>
    <w:rsid w:val="003D60D9"/>
    <w:rsid w:val="003D6AFC"/>
    <w:rsid w:val="003D78E6"/>
    <w:rsid w:val="003E09B5"/>
    <w:rsid w:val="003E1867"/>
    <w:rsid w:val="003E3FD4"/>
    <w:rsid w:val="003E4076"/>
    <w:rsid w:val="003E5729"/>
    <w:rsid w:val="003E62A9"/>
    <w:rsid w:val="003E7350"/>
    <w:rsid w:val="003E7501"/>
    <w:rsid w:val="003F2C5D"/>
    <w:rsid w:val="003F303D"/>
    <w:rsid w:val="003F4EE0"/>
    <w:rsid w:val="003F509A"/>
    <w:rsid w:val="003F7ACD"/>
    <w:rsid w:val="004017E3"/>
    <w:rsid w:val="00401BDC"/>
    <w:rsid w:val="00402153"/>
    <w:rsid w:val="00402ECA"/>
    <w:rsid w:val="00402FC1"/>
    <w:rsid w:val="0040353A"/>
    <w:rsid w:val="004046BE"/>
    <w:rsid w:val="004047E6"/>
    <w:rsid w:val="00406ACB"/>
    <w:rsid w:val="00407C22"/>
    <w:rsid w:val="00412FBD"/>
    <w:rsid w:val="00413A12"/>
    <w:rsid w:val="00413D7A"/>
    <w:rsid w:val="004141F1"/>
    <w:rsid w:val="00414277"/>
    <w:rsid w:val="00415192"/>
    <w:rsid w:val="00417B56"/>
    <w:rsid w:val="00420395"/>
    <w:rsid w:val="0042094A"/>
    <w:rsid w:val="004219C3"/>
    <w:rsid w:val="004221A3"/>
    <w:rsid w:val="00425082"/>
    <w:rsid w:val="00425224"/>
    <w:rsid w:val="00426475"/>
    <w:rsid w:val="00430182"/>
    <w:rsid w:val="00430525"/>
    <w:rsid w:val="00430A85"/>
    <w:rsid w:val="00431DEB"/>
    <w:rsid w:val="00433C4B"/>
    <w:rsid w:val="00436418"/>
    <w:rsid w:val="00436B43"/>
    <w:rsid w:val="004371FC"/>
    <w:rsid w:val="004407E8"/>
    <w:rsid w:val="00441C88"/>
    <w:rsid w:val="00442976"/>
    <w:rsid w:val="00443504"/>
    <w:rsid w:val="00444306"/>
    <w:rsid w:val="00445016"/>
    <w:rsid w:val="004452BB"/>
    <w:rsid w:val="004465E3"/>
    <w:rsid w:val="00446B29"/>
    <w:rsid w:val="00446D7C"/>
    <w:rsid w:val="004506B8"/>
    <w:rsid w:val="00452831"/>
    <w:rsid w:val="00453F9A"/>
    <w:rsid w:val="00457338"/>
    <w:rsid w:val="0045749D"/>
    <w:rsid w:val="00461353"/>
    <w:rsid w:val="004617D6"/>
    <w:rsid w:val="00461DB0"/>
    <w:rsid w:val="004649A1"/>
    <w:rsid w:val="0046528A"/>
    <w:rsid w:val="004661CB"/>
    <w:rsid w:val="004700D6"/>
    <w:rsid w:val="004702C9"/>
    <w:rsid w:val="00471E6B"/>
    <w:rsid w:val="00471E91"/>
    <w:rsid w:val="00472102"/>
    <w:rsid w:val="00472C03"/>
    <w:rsid w:val="00473BBF"/>
    <w:rsid w:val="00474350"/>
    <w:rsid w:val="00474675"/>
    <w:rsid w:val="0047470C"/>
    <w:rsid w:val="00474987"/>
    <w:rsid w:val="0048142F"/>
    <w:rsid w:val="0048324E"/>
    <w:rsid w:val="00483BFE"/>
    <w:rsid w:val="004840F0"/>
    <w:rsid w:val="00484CA4"/>
    <w:rsid w:val="0049038D"/>
    <w:rsid w:val="00492A80"/>
    <w:rsid w:val="00492BB7"/>
    <w:rsid w:val="00494306"/>
    <w:rsid w:val="0049453E"/>
    <w:rsid w:val="00495000"/>
    <w:rsid w:val="00496A28"/>
    <w:rsid w:val="004A01D1"/>
    <w:rsid w:val="004A043F"/>
    <w:rsid w:val="004A32DD"/>
    <w:rsid w:val="004A3445"/>
    <w:rsid w:val="004A35F9"/>
    <w:rsid w:val="004A5357"/>
    <w:rsid w:val="004A777D"/>
    <w:rsid w:val="004B1F58"/>
    <w:rsid w:val="004B24C1"/>
    <w:rsid w:val="004B3FBC"/>
    <w:rsid w:val="004B41C6"/>
    <w:rsid w:val="004B5516"/>
    <w:rsid w:val="004B575B"/>
    <w:rsid w:val="004B763B"/>
    <w:rsid w:val="004B781E"/>
    <w:rsid w:val="004C0907"/>
    <w:rsid w:val="004C092C"/>
    <w:rsid w:val="004C291A"/>
    <w:rsid w:val="004C292F"/>
    <w:rsid w:val="004C3BAA"/>
    <w:rsid w:val="004C4DA9"/>
    <w:rsid w:val="004C5957"/>
    <w:rsid w:val="004C59FE"/>
    <w:rsid w:val="004C5AE7"/>
    <w:rsid w:val="004C5E64"/>
    <w:rsid w:val="004C5F46"/>
    <w:rsid w:val="004C736A"/>
    <w:rsid w:val="004C7E22"/>
    <w:rsid w:val="004D04FE"/>
    <w:rsid w:val="004D0C14"/>
    <w:rsid w:val="004D0CA1"/>
    <w:rsid w:val="004D29CD"/>
    <w:rsid w:val="004D2B73"/>
    <w:rsid w:val="004D2BD7"/>
    <w:rsid w:val="004D35D5"/>
    <w:rsid w:val="004D3F5D"/>
    <w:rsid w:val="004D4A33"/>
    <w:rsid w:val="004D513A"/>
    <w:rsid w:val="004D572C"/>
    <w:rsid w:val="004D6644"/>
    <w:rsid w:val="004E15C5"/>
    <w:rsid w:val="004E3C26"/>
    <w:rsid w:val="004E50F1"/>
    <w:rsid w:val="004E5859"/>
    <w:rsid w:val="004E7978"/>
    <w:rsid w:val="004F0781"/>
    <w:rsid w:val="004F3776"/>
    <w:rsid w:val="004F38C4"/>
    <w:rsid w:val="004F40E9"/>
    <w:rsid w:val="004F42FF"/>
    <w:rsid w:val="004F432C"/>
    <w:rsid w:val="005002A6"/>
    <w:rsid w:val="00501A19"/>
    <w:rsid w:val="005034DF"/>
    <w:rsid w:val="00504A40"/>
    <w:rsid w:val="00507A9A"/>
    <w:rsid w:val="00510280"/>
    <w:rsid w:val="00510807"/>
    <w:rsid w:val="0051082A"/>
    <w:rsid w:val="0051114D"/>
    <w:rsid w:val="005127F9"/>
    <w:rsid w:val="00513D73"/>
    <w:rsid w:val="00514A43"/>
    <w:rsid w:val="00515743"/>
    <w:rsid w:val="005174E5"/>
    <w:rsid w:val="00520C03"/>
    <w:rsid w:val="0052172B"/>
    <w:rsid w:val="00522266"/>
    <w:rsid w:val="00522393"/>
    <w:rsid w:val="00522620"/>
    <w:rsid w:val="00522772"/>
    <w:rsid w:val="0052377C"/>
    <w:rsid w:val="00523807"/>
    <w:rsid w:val="00525656"/>
    <w:rsid w:val="005269B5"/>
    <w:rsid w:val="00526A56"/>
    <w:rsid w:val="00526B3E"/>
    <w:rsid w:val="00527FFC"/>
    <w:rsid w:val="00530044"/>
    <w:rsid w:val="00531910"/>
    <w:rsid w:val="00531B08"/>
    <w:rsid w:val="0053300A"/>
    <w:rsid w:val="00533BE8"/>
    <w:rsid w:val="005347A6"/>
    <w:rsid w:val="00534C02"/>
    <w:rsid w:val="00535D1D"/>
    <w:rsid w:val="005371A0"/>
    <w:rsid w:val="00540B94"/>
    <w:rsid w:val="00541BB2"/>
    <w:rsid w:val="0054264B"/>
    <w:rsid w:val="00542821"/>
    <w:rsid w:val="00543786"/>
    <w:rsid w:val="005443FB"/>
    <w:rsid w:val="00544686"/>
    <w:rsid w:val="005462EF"/>
    <w:rsid w:val="005509EC"/>
    <w:rsid w:val="005518BE"/>
    <w:rsid w:val="00551EF1"/>
    <w:rsid w:val="00552434"/>
    <w:rsid w:val="00552A8F"/>
    <w:rsid w:val="00552BFB"/>
    <w:rsid w:val="00552C69"/>
    <w:rsid w:val="005533D7"/>
    <w:rsid w:val="005542F7"/>
    <w:rsid w:val="005543E7"/>
    <w:rsid w:val="00554CB1"/>
    <w:rsid w:val="00555581"/>
    <w:rsid w:val="00555758"/>
    <w:rsid w:val="00555B88"/>
    <w:rsid w:val="005562A8"/>
    <w:rsid w:val="00560C5B"/>
    <w:rsid w:val="005617AA"/>
    <w:rsid w:val="00561D45"/>
    <w:rsid w:val="00561F42"/>
    <w:rsid w:val="00563E6C"/>
    <w:rsid w:val="00566B0D"/>
    <w:rsid w:val="005703DE"/>
    <w:rsid w:val="0057179D"/>
    <w:rsid w:val="00571FFC"/>
    <w:rsid w:val="005725DB"/>
    <w:rsid w:val="00573AD7"/>
    <w:rsid w:val="00573BCF"/>
    <w:rsid w:val="00575E63"/>
    <w:rsid w:val="00576BE0"/>
    <w:rsid w:val="00577547"/>
    <w:rsid w:val="00580B30"/>
    <w:rsid w:val="00582E28"/>
    <w:rsid w:val="0058312B"/>
    <w:rsid w:val="00583306"/>
    <w:rsid w:val="005837DC"/>
    <w:rsid w:val="0058464E"/>
    <w:rsid w:val="00585BFB"/>
    <w:rsid w:val="00585FA0"/>
    <w:rsid w:val="005867E7"/>
    <w:rsid w:val="005873DE"/>
    <w:rsid w:val="0059012A"/>
    <w:rsid w:val="00590EAC"/>
    <w:rsid w:val="00591E37"/>
    <w:rsid w:val="00592B9E"/>
    <w:rsid w:val="00592D00"/>
    <w:rsid w:val="005932A7"/>
    <w:rsid w:val="0059404E"/>
    <w:rsid w:val="00594665"/>
    <w:rsid w:val="00595B4B"/>
    <w:rsid w:val="005A01CB"/>
    <w:rsid w:val="005A0767"/>
    <w:rsid w:val="005A2105"/>
    <w:rsid w:val="005A2779"/>
    <w:rsid w:val="005A30F7"/>
    <w:rsid w:val="005A31BB"/>
    <w:rsid w:val="005A3201"/>
    <w:rsid w:val="005A49CA"/>
    <w:rsid w:val="005A58FF"/>
    <w:rsid w:val="005A5EAF"/>
    <w:rsid w:val="005A64C0"/>
    <w:rsid w:val="005A6B5C"/>
    <w:rsid w:val="005B20CC"/>
    <w:rsid w:val="005B3C11"/>
    <w:rsid w:val="005B4B4F"/>
    <w:rsid w:val="005B788D"/>
    <w:rsid w:val="005C1C28"/>
    <w:rsid w:val="005C2FE9"/>
    <w:rsid w:val="005C4E0D"/>
    <w:rsid w:val="005C5903"/>
    <w:rsid w:val="005C595A"/>
    <w:rsid w:val="005C6DB5"/>
    <w:rsid w:val="005C7C99"/>
    <w:rsid w:val="005D0810"/>
    <w:rsid w:val="005D0BC5"/>
    <w:rsid w:val="005D2557"/>
    <w:rsid w:val="005D2620"/>
    <w:rsid w:val="005D35C8"/>
    <w:rsid w:val="005E19E7"/>
    <w:rsid w:val="005E1F06"/>
    <w:rsid w:val="005E4B5D"/>
    <w:rsid w:val="005E4E71"/>
    <w:rsid w:val="005E6759"/>
    <w:rsid w:val="005E67E4"/>
    <w:rsid w:val="005E6F35"/>
    <w:rsid w:val="005F0042"/>
    <w:rsid w:val="005F10EF"/>
    <w:rsid w:val="005F3ACA"/>
    <w:rsid w:val="005F40DF"/>
    <w:rsid w:val="005F590D"/>
    <w:rsid w:val="005F608D"/>
    <w:rsid w:val="00600980"/>
    <w:rsid w:val="006024F2"/>
    <w:rsid w:val="00602E1E"/>
    <w:rsid w:val="00605E5D"/>
    <w:rsid w:val="0060618A"/>
    <w:rsid w:val="00607622"/>
    <w:rsid w:val="00607FF1"/>
    <w:rsid w:val="006109F6"/>
    <w:rsid w:val="006110BD"/>
    <w:rsid w:val="006111CB"/>
    <w:rsid w:val="0061423B"/>
    <w:rsid w:val="0061492C"/>
    <w:rsid w:val="0061535F"/>
    <w:rsid w:val="0061716C"/>
    <w:rsid w:val="006171ED"/>
    <w:rsid w:val="0061780B"/>
    <w:rsid w:val="0062087B"/>
    <w:rsid w:val="0062190E"/>
    <w:rsid w:val="0062270C"/>
    <w:rsid w:val="00623413"/>
    <w:rsid w:val="0062347F"/>
    <w:rsid w:val="00623839"/>
    <w:rsid w:val="006240A8"/>
    <w:rsid w:val="006243A1"/>
    <w:rsid w:val="00624BEC"/>
    <w:rsid w:val="0062506C"/>
    <w:rsid w:val="0062628B"/>
    <w:rsid w:val="00626AE1"/>
    <w:rsid w:val="00627201"/>
    <w:rsid w:val="00627841"/>
    <w:rsid w:val="006310E1"/>
    <w:rsid w:val="00631813"/>
    <w:rsid w:val="00632452"/>
    <w:rsid w:val="00632E56"/>
    <w:rsid w:val="00633C4E"/>
    <w:rsid w:val="006343A5"/>
    <w:rsid w:val="00635096"/>
    <w:rsid w:val="006351B2"/>
    <w:rsid w:val="00635CBA"/>
    <w:rsid w:val="00641B14"/>
    <w:rsid w:val="00641FBB"/>
    <w:rsid w:val="006422E6"/>
    <w:rsid w:val="0064338B"/>
    <w:rsid w:val="00645275"/>
    <w:rsid w:val="00646473"/>
    <w:rsid w:val="00646542"/>
    <w:rsid w:val="006467FB"/>
    <w:rsid w:val="00646C25"/>
    <w:rsid w:val="006504F4"/>
    <w:rsid w:val="00651053"/>
    <w:rsid w:val="00652394"/>
    <w:rsid w:val="00654BC9"/>
    <w:rsid w:val="006550C4"/>
    <w:rsid w:val="006552FD"/>
    <w:rsid w:val="00656125"/>
    <w:rsid w:val="0066217E"/>
    <w:rsid w:val="00663AF3"/>
    <w:rsid w:val="00663EB1"/>
    <w:rsid w:val="00664787"/>
    <w:rsid w:val="00665FB1"/>
    <w:rsid w:val="00666B6C"/>
    <w:rsid w:val="006675EB"/>
    <w:rsid w:val="0067020A"/>
    <w:rsid w:val="006703DA"/>
    <w:rsid w:val="00670DE2"/>
    <w:rsid w:val="00671DCA"/>
    <w:rsid w:val="006724B0"/>
    <w:rsid w:val="00672740"/>
    <w:rsid w:val="00673E41"/>
    <w:rsid w:val="00674959"/>
    <w:rsid w:val="00675693"/>
    <w:rsid w:val="006763CC"/>
    <w:rsid w:val="00676CCE"/>
    <w:rsid w:val="0068164D"/>
    <w:rsid w:val="00682682"/>
    <w:rsid w:val="00682702"/>
    <w:rsid w:val="00684261"/>
    <w:rsid w:val="00684875"/>
    <w:rsid w:val="00685D8D"/>
    <w:rsid w:val="0068753E"/>
    <w:rsid w:val="00691826"/>
    <w:rsid w:val="00691B91"/>
    <w:rsid w:val="0069218B"/>
    <w:rsid w:val="00692368"/>
    <w:rsid w:val="0069402A"/>
    <w:rsid w:val="00694647"/>
    <w:rsid w:val="00695E2E"/>
    <w:rsid w:val="00696C95"/>
    <w:rsid w:val="006A1379"/>
    <w:rsid w:val="006A1948"/>
    <w:rsid w:val="006A2842"/>
    <w:rsid w:val="006A2EBC"/>
    <w:rsid w:val="006A555F"/>
    <w:rsid w:val="006A5EA0"/>
    <w:rsid w:val="006A6E75"/>
    <w:rsid w:val="006A783B"/>
    <w:rsid w:val="006A7B33"/>
    <w:rsid w:val="006A7F04"/>
    <w:rsid w:val="006A7FEB"/>
    <w:rsid w:val="006B17E3"/>
    <w:rsid w:val="006B464C"/>
    <w:rsid w:val="006B4E13"/>
    <w:rsid w:val="006B750E"/>
    <w:rsid w:val="006B75DD"/>
    <w:rsid w:val="006B7A6D"/>
    <w:rsid w:val="006C260E"/>
    <w:rsid w:val="006C2DE1"/>
    <w:rsid w:val="006C383D"/>
    <w:rsid w:val="006C415C"/>
    <w:rsid w:val="006C49BF"/>
    <w:rsid w:val="006C67E0"/>
    <w:rsid w:val="006C7ABA"/>
    <w:rsid w:val="006D0D60"/>
    <w:rsid w:val="006D1122"/>
    <w:rsid w:val="006D181B"/>
    <w:rsid w:val="006D199C"/>
    <w:rsid w:val="006D1F32"/>
    <w:rsid w:val="006D2075"/>
    <w:rsid w:val="006D2767"/>
    <w:rsid w:val="006D3C00"/>
    <w:rsid w:val="006D4764"/>
    <w:rsid w:val="006D5391"/>
    <w:rsid w:val="006D6F38"/>
    <w:rsid w:val="006D70F3"/>
    <w:rsid w:val="006D7792"/>
    <w:rsid w:val="006E03CE"/>
    <w:rsid w:val="006E10A7"/>
    <w:rsid w:val="006E13F3"/>
    <w:rsid w:val="006E2737"/>
    <w:rsid w:val="006E2792"/>
    <w:rsid w:val="006E2A76"/>
    <w:rsid w:val="006E3675"/>
    <w:rsid w:val="006E4A7F"/>
    <w:rsid w:val="006E684D"/>
    <w:rsid w:val="006E7B84"/>
    <w:rsid w:val="006E7C8B"/>
    <w:rsid w:val="006F0F1D"/>
    <w:rsid w:val="006F19C8"/>
    <w:rsid w:val="006F1E73"/>
    <w:rsid w:val="006F206A"/>
    <w:rsid w:val="006F216C"/>
    <w:rsid w:val="006F2D67"/>
    <w:rsid w:val="006F378B"/>
    <w:rsid w:val="006F3914"/>
    <w:rsid w:val="006F4EF5"/>
    <w:rsid w:val="006F4F49"/>
    <w:rsid w:val="006F59C4"/>
    <w:rsid w:val="006F68F4"/>
    <w:rsid w:val="00701493"/>
    <w:rsid w:val="0070262E"/>
    <w:rsid w:val="00702C3D"/>
    <w:rsid w:val="00703593"/>
    <w:rsid w:val="0070438B"/>
    <w:rsid w:val="00704DF6"/>
    <w:rsid w:val="00705B60"/>
    <w:rsid w:val="00705C32"/>
    <w:rsid w:val="0070651C"/>
    <w:rsid w:val="007072D0"/>
    <w:rsid w:val="00710378"/>
    <w:rsid w:val="00710AF0"/>
    <w:rsid w:val="00710FB4"/>
    <w:rsid w:val="007132A3"/>
    <w:rsid w:val="007133FF"/>
    <w:rsid w:val="00713695"/>
    <w:rsid w:val="007142C6"/>
    <w:rsid w:val="00714588"/>
    <w:rsid w:val="00715363"/>
    <w:rsid w:val="007155A6"/>
    <w:rsid w:val="00716421"/>
    <w:rsid w:val="00720AFF"/>
    <w:rsid w:val="00720D52"/>
    <w:rsid w:val="00722042"/>
    <w:rsid w:val="00722EB3"/>
    <w:rsid w:val="00722FAE"/>
    <w:rsid w:val="00723261"/>
    <w:rsid w:val="00723644"/>
    <w:rsid w:val="00724209"/>
    <w:rsid w:val="00724EFB"/>
    <w:rsid w:val="00725A5B"/>
    <w:rsid w:val="00725BDC"/>
    <w:rsid w:val="00727AEB"/>
    <w:rsid w:val="00727B60"/>
    <w:rsid w:val="00730F88"/>
    <w:rsid w:val="007315F6"/>
    <w:rsid w:val="00732D29"/>
    <w:rsid w:val="00733E1B"/>
    <w:rsid w:val="00734B27"/>
    <w:rsid w:val="0073677C"/>
    <w:rsid w:val="007379E0"/>
    <w:rsid w:val="00740627"/>
    <w:rsid w:val="00740CE5"/>
    <w:rsid w:val="00740DC5"/>
    <w:rsid w:val="007419C3"/>
    <w:rsid w:val="007467A7"/>
    <w:rsid w:val="007469DD"/>
    <w:rsid w:val="00746A76"/>
    <w:rsid w:val="0074741B"/>
    <w:rsid w:val="0074759E"/>
    <w:rsid w:val="00747849"/>
    <w:rsid w:val="007478EA"/>
    <w:rsid w:val="00747CD4"/>
    <w:rsid w:val="00751E2F"/>
    <w:rsid w:val="007524A8"/>
    <w:rsid w:val="007530D8"/>
    <w:rsid w:val="00753270"/>
    <w:rsid w:val="0075415C"/>
    <w:rsid w:val="007544A3"/>
    <w:rsid w:val="00756E46"/>
    <w:rsid w:val="007579CF"/>
    <w:rsid w:val="00761E2C"/>
    <w:rsid w:val="00763502"/>
    <w:rsid w:val="00764B91"/>
    <w:rsid w:val="0077046E"/>
    <w:rsid w:val="0077126E"/>
    <w:rsid w:val="00771E3D"/>
    <w:rsid w:val="00772A8C"/>
    <w:rsid w:val="007752FB"/>
    <w:rsid w:val="007754F8"/>
    <w:rsid w:val="00777394"/>
    <w:rsid w:val="00780071"/>
    <w:rsid w:val="00780838"/>
    <w:rsid w:val="0078149D"/>
    <w:rsid w:val="007816B4"/>
    <w:rsid w:val="007828DB"/>
    <w:rsid w:val="00783C1B"/>
    <w:rsid w:val="00785AB1"/>
    <w:rsid w:val="00786174"/>
    <w:rsid w:val="00790485"/>
    <w:rsid w:val="0079105B"/>
    <w:rsid w:val="0079117C"/>
    <w:rsid w:val="007911A1"/>
    <w:rsid w:val="007913AB"/>
    <w:rsid w:val="007914F7"/>
    <w:rsid w:val="00793923"/>
    <w:rsid w:val="00793D3D"/>
    <w:rsid w:val="007941B9"/>
    <w:rsid w:val="00795E3A"/>
    <w:rsid w:val="007965FC"/>
    <w:rsid w:val="00797055"/>
    <w:rsid w:val="00797F4D"/>
    <w:rsid w:val="007A3C9A"/>
    <w:rsid w:val="007A3CF4"/>
    <w:rsid w:val="007A4FD0"/>
    <w:rsid w:val="007A4FE5"/>
    <w:rsid w:val="007A68A3"/>
    <w:rsid w:val="007A7E9F"/>
    <w:rsid w:val="007B10C7"/>
    <w:rsid w:val="007B1625"/>
    <w:rsid w:val="007B1887"/>
    <w:rsid w:val="007B1A6A"/>
    <w:rsid w:val="007B2C5C"/>
    <w:rsid w:val="007B706E"/>
    <w:rsid w:val="007B71EB"/>
    <w:rsid w:val="007C1AD6"/>
    <w:rsid w:val="007C3EE9"/>
    <w:rsid w:val="007C40AF"/>
    <w:rsid w:val="007C4B79"/>
    <w:rsid w:val="007C4E2E"/>
    <w:rsid w:val="007C568E"/>
    <w:rsid w:val="007C6205"/>
    <w:rsid w:val="007C6760"/>
    <w:rsid w:val="007C686A"/>
    <w:rsid w:val="007C728E"/>
    <w:rsid w:val="007D0ED0"/>
    <w:rsid w:val="007D1077"/>
    <w:rsid w:val="007D2365"/>
    <w:rsid w:val="007D28F1"/>
    <w:rsid w:val="007D2B84"/>
    <w:rsid w:val="007D2C53"/>
    <w:rsid w:val="007D30E8"/>
    <w:rsid w:val="007D3D60"/>
    <w:rsid w:val="007D42B2"/>
    <w:rsid w:val="007D5144"/>
    <w:rsid w:val="007D5D00"/>
    <w:rsid w:val="007D611F"/>
    <w:rsid w:val="007D6F55"/>
    <w:rsid w:val="007D75A6"/>
    <w:rsid w:val="007E10BD"/>
    <w:rsid w:val="007E1980"/>
    <w:rsid w:val="007E261F"/>
    <w:rsid w:val="007E283B"/>
    <w:rsid w:val="007E2EEF"/>
    <w:rsid w:val="007E38E2"/>
    <w:rsid w:val="007E3D06"/>
    <w:rsid w:val="007E40CB"/>
    <w:rsid w:val="007E4B76"/>
    <w:rsid w:val="007E57AC"/>
    <w:rsid w:val="007E5B16"/>
    <w:rsid w:val="007E5EA8"/>
    <w:rsid w:val="007E60C5"/>
    <w:rsid w:val="007E615C"/>
    <w:rsid w:val="007E72C9"/>
    <w:rsid w:val="007E7469"/>
    <w:rsid w:val="007F0CF1"/>
    <w:rsid w:val="007F12A5"/>
    <w:rsid w:val="007F16BA"/>
    <w:rsid w:val="007F3054"/>
    <w:rsid w:val="007F4282"/>
    <w:rsid w:val="007F4CF1"/>
    <w:rsid w:val="007F5B89"/>
    <w:rsid w:val="007F5C0A"/>
    <w:rsid w:val="007F758D"/>
    <w:rsid w:val="007F7D52"/>
    <w:rsid w:val="008040F1"/>
    <w:rsid w:val="0080654C"/>
    <w:rsid w:val="008071C6"/>
    <w:rsid w:val="00810561"/>
    <w:rsid w:val="008105F7"/>
    <w:rsid w:val="00813727"/>
    <w:rsid w:val="008138B8"/>
    <w:rsid w:val="00817A00"/>
    <w:rsid w:val="00817B3E"/>
    <w:rsid w:val="008211D0"/>
    <w:rsid w:val="00821408"/>
    <w:rsid w:val="0082167E"/>
    <w:rsid w:val="00822787"/>
    <w:rsid w:val="008229E4"/>
    <w:rsid w:val="00823432"/>
    <w:rsid w:val="0082386F"/>
    <w:rsid w:val="00823874"/>
    <w:rsid w:val="00824660"/>
    <w:rsid w:val="008265BD"/>
    <w:rsid w:val="00830913"/>
    <w:rsid w:val="00831205"/>
    <w:rsid w:val="008313B7"/>
    <w:rsid w:val="00831495"/>
    <w:rsid w:val="008317FF"/>
    <w:rsid w:val="00832ED5"/>
    <w:rsid w:val="008332AA"/>
    <w:rsid w:val="008340AF"/>
    <w:rsid w:val="008355CE"/>
    <w:rsid w:val="008359CC"/>
    <w:rsid w:val="00835DB3"/>
    <w:rsid w:val="00835EC0"/>
    <w:rsid w:val="0083617B"/>
    <w:rsid w:val="00836531"/>
    <w:rsid w:val="008371BD"/>
    <w:rsid w:val="00840EA1"/>
    <w:rsid w:val="00843273"/>
    <w:rsid w:val="00843AC9"/>
    <w:rsid w:val="00844FD8"/>
    <w:rsid w:val="00847A97"/>
    <w:rsid w:val="008504A8"/>
    <w:rsid w:val="008506E9"/>
    <w:rsid w:val="00850A1E"/>
    <w:rsid w:val="008510F0"/>
    <w:rsid w:val="00851444"/>
    <w:rsid w:val="00851ED2"/>
    <w:rsid w:val="0085282E"/>
    <w:rsid w:val="00852A32"/>
    <w:rsid w:val="008574E9"/>
    <w:rsid w:val="008577ED"/>
    <w:rsid w:val="0086090A"/>
    <w:rsid w:val="00861686"/>
    <w:rsid w:val="0086437C"/>
    <w:rsid w:val="008650FC"/>
    <w:rsid w:val="008653F0"/>
    <w:rsid w:val="00865BA9"/>
    <w:rsid w:val="00867384"/>
    <w:rsid w:val="00867775"/>
    <w:rsid w:val="00870C38"/>
    <w:rsid w:val="00871855"/>
    <w:rsid w:val="0087198C"/>
    <w:rsid w:val="008726CD"/>
    <w:rsid w:val="00872C1F"/>
    <w:rsid w:val="00872F27"/>
    <w:rsid w:val="00873B42"/>
    <w:rsid w:val="008740B4"/>
    <w:rsid w:val="00874B69"/>
    <w:rsid w:val="0087637B"/>
    <w:rsid w:val="008767A4"/>
    <w:rsid w:val="00877085"/>
    <w:rsid w:val="00877C02"/>
    <w:rsid w:val="00880F56"/>
    <w:rsid w:val="008810F6"/>
    <w:rsid w:val="00881CA6"/>
    <w:rsid w:val="00883753"/>
    <w:rsid w:val="00884468"/>
    <w:rsid w:val="008856D8"/>
    <w:rsid w:val="00886CEE"/>
    <w:rsid w:val="0088746B"/>
    <w:rsid w:val="008902D8"/>
    <w:rsid w:val="00892364"/>
    <w:rsid w:val="00892825"/>
    <w:rsid w:val="008929DB"/>
    <w:rsid w:val="00892A70"/>
    <w:rsid w:val="00892E55"/>
    <w:rsid w:val="00892E82"/>
    <w:rsid w:val="008936BC"/>
    <w:rsid w:val="00893DF4"/>
    <w:rsid w:val="00896140"/>
    <w:rsid w:val="008970FA"/>
    <w:rsid w:val="00897955"/>
    <w:rsid w:val="008A012E"/>
    <w:rsid w:val="008A3F79"/>
    <w:rsid w:val="008A58B1"/>
    <w:rsid w:val="008A7847"/>
    <w:rsid w:val="008B0C6D"/>
    <w:rsid w:val="008B0CE4"/>
    <w:rsid w:val="008B1145"/>
    <w:rsid w:val="008B13AF"/>
    <w:rsid w:val="008B15F1"/>
    <w:rsid w:val="008B1CEC"/>
    <w:rsid w:val="008B2D05"/>
    <w:rsid w:val="008B49CE"/>
    <w:rsid w:val="008B4B9E"/>
    <w:rsid w:val="008B607E"/>
    <w:rsid w:val="008B6B22"/>
    <w:rsid w:val="008B7375"/>
    <w:rsid w:val="008C1931"/>
    <w:rsid w:val="008C1B58"/>
    <w:rsid w:val="008C30E0"/>
    <w:rsid w:val="008C39AE"/>
    <w:rsid w:val="008C40C3"/>
    <w:rsid w:val="008C4A5C"/>
    <w:rsid w:val="008C4DFF"/>
    <w:rsid w:val="008C5562"/>
    <w:rsid w:val="008C590D"/>
    <w:rsid w:val="008C6A49"/>
    <w:rsid w:val="008C76A3"/>
    <w:rsid w:val="008D2843"/>
    <w:rsid w:val="008D39A6"/>
    <w:rsid w:val="008D5439"/>
    <w:rsid w:val="008D5551"/>
    <w:rsid w:val="008D58A0"/>
    <w:rsid w:val="008D5A6D"/>
    <w:rsid w:val="008E031B"/>
    <w:rsid w:val="008E0C3B"/>
    <w:rsid w:val="008E17F7"/>
    <w:rsid w:val="008E20F7"/>
    <w:rsid w:val="008E270E"/>
    <w:rsid w:val="008E3691"/>
    <w:rsid w:val="008E3A35"/>
    <w:rsid w:val="008E473B"/>
    <w:rsid w:val="008E53D2"/>
    <w:rsid w:val="008E540D"/>
    <w:rsid w:val="008E6B4E"/>
    <w:rsid w:val="008E6D5F"/>
    <w:rsid w:val="008E6D99"/>
    <w:rsid w:val="008E7029"/>
    <w:rsid w:val="008E7EF6"/>
    <w:rsid w:val="008F1F98"/>
    <w:rsid w:val="008F2D43"/>
    <w:rsid w:val="008F3A4D"/>
    <w:rsid w:val="008F4CEB"/>
    <w:rsid w:val="008F6758"/>
    <w:rsid w:val="009037D1"/>
    <w:rsid w:val="009040DD"/>
    <w:rsid w:val="00904141"/>
    <w:rsid w:val="00905B47"/>
    <w:rsid w:val="00905E1C"/>
    <w:rsid w:val="009066A5"/>
    <w:rsid w:val="009123BB"/>
    <w:rsid w:val="0091331C"/>
    <w:rsid w:val="009161E4"/>
    <w:rsid w:val="00916C74"/>
    <w:rsid w:val="009177CF"/>
    <w:rsid w:val="009221D2"/>
    <w:rsid w:val="009259D6"/>
    <w:rsid w:val="009271F8"/>
    <w:rsid w:val="00927992"/>
    <w:rsid w:val="009279DE"/>
    <w:rsid w:val="00930116"/>
    <w:rsid w:val="00931434"/>
    <w:rsid w:val="00934A22"/>
    <w:rsid w:val="00934B8D"/>
    <w:rsid w:val="009361EE"/>
    <w:rsid w:val="00941AD2"/>
    <w:rsid w:val="00941BF0"/>
    <w:rsid w:val="0094212C"/>
    <w:rsid w:val="00944145"/>
    <w:rsid w:val="009450D3"/>
    <w:rsid w:val="00946891"/>
    <w:rsid w:val="00946C16"/>
    <w:rsid w:val="0095047D"/>
    <w:rsid w:val="00950B81"/>
    <w:rsid w:val="009512D4"/>
    <w:rsid w:val="0095259D"/>
    <w:rsid w:val="00954689"/>
    <w:rsid w:val="00955496"/>
    <w:rsid w:val="00955DF4"/>
    <w:rsid w:val="00955E85"/>
    <w:rsid w:val="00957DBC"/>
    <w:rsid w:val="009617C9"/>
    <w:rsid w:val="00961C93"/>
    <w:rsid w:val="00962075"/>
    <w:rsid w:val="009639B6"/>
    <w:rsid w:val="00964E87"/>
    <w:rsid w:val="00965324"/>
    <w:rsid w:val="00965483"/>
    <w:rsid w:val="00967E17"/>
    <w:rsid w:val="009702FC"/>
    <w:rsid w:val="0097091E"/>
    <w:rsid w:val="00971DB1"/>
    <w:rsid w:val="00972F4A"/>
    <w:rsid w:val="0097422C"/>
    <w:rsid w:val="0097422E"/>
    <w:rsid w:val="00975B6E"/>
    <w:rsid w:val="009760D3"/>
    <w:rsid w:val="00977132"/>
    <w:rsid w:val="0098055A"/>
    <w:rsid w:val="00980A3D"/>
    <w:rsid w:val="0098146C"/>
    <w:rsid w:val="009819A4"/>
    <w:rsid w:val="009819AC"/>
    <w:rsid w:val="00981A4B"/>
    <w:rsid w:val="009820CA"/>
    <w:rsid w:val="00982501"/>
    <w:rsid w:val="009826EC"/>
    <w:rsid w:val="00982CD3"/>
    <w:rsid w:val="00983452"/>
    <w:rsid w:val="00983562"/>
    <w:rsid w:val="00984913"/>
    <w:rsid w:val="009877D3"/>
    <w:rsid w:val="00990FED"/>
    <w:rsid w:val="00991871"/>
    <w:rsid w:val="0099357B"/>
    <w:rsid w:val="00994873"/>
    <w:rsid w:val="00994E8F"/>
    <w:rsid w:val="009951DC"/>
    <w:rsid w:val="009959BB"/>
    <w:rsid w:val="00995D0B"/>
    <w:rsid w:val="00997158"/>
    <w:rsid w:val="009972A0"/>
    <w:rsid w:val="00997507"/>
    <w:rsid w:val="009A0A6B"/>
    <w:rsid w:val="009A26EB"/>
    <w:rsid w:val="009A2C99"/>
    <w:rsid w:val="009A2DDF"/>
    <w:rsid w:val="009A3A7C"/>
    <w:rsid w:val="009A4C40"/>
    <w:rsid w:val="009A5E43"/>
    <w:rsid w:val="009A701E"/>
    <w:rsid w:val="009A724C"/>
    <w:rsid w:val="009A764C"/>
    <w:rsid w:val="009B016A"/>
    <w:rsid w:val="009B1447"/>
    <w:rsid w:val="009B1C59"/>
    <w:rsid w:val="009B2A20"/>
    <w:rsid w:val="009B2ADB"/>
    <w:rsid w:val="009B2CFA"/>
    <w:rsid w:val="009B3325"/>
    <w:rsid w:val="009B33AC"/>
    <w:rsid w:val="009B603A"/>
    <w:rsid w:val="009B6A02"/>
    <w:rsid w:val="009C0C8A"/>
    <w:rsid w:val="009C0D52"/>
    <w:rsid w:val="009C0D90"/>
    <w:rsid w:val="009C1DA4"/>
    <w:rsid w:val="009C230A"/>
    <w:rsid w:val="009C28ED"/>
    <w:rsid w:val="009C2D0E"/>
    <w:rsid w:val="009C37C0"/>
    <w:rsid w:val="009C399A"/>
    <w:rsid w:val="009C3DAC"/>
    <w:rsid w:val="009C42E0"/>
    <w:rsid w:val="009C5049"/>
    <w:rsid w:val="009C5082"/>
    <w:rsid w:val="009C521D"/>
    <w:rsid w:val="009C6A3C"/>
    <w:rsid w:val="009D3265"/>
    <w:rsid w:val="009D348F"/>
    <w:rsid w:val="009D3E49"/>
    <w:rsid w:val="009D4D3A"/>
    <w:rsid w:val="009D5362"/>
    <w:rsid w:val="009D55AD"/>
    <w:rsid w:val="009D5C2C"/>
    <w:rsid w:val="009D79E9"/>
    <w:rsid w:val="009E056C"/>
    <w:rsid w:val="009E0636"/>
    <w:rsid w:val="009E0681"/>
    <w:rsid w:val="009E0BF3"/>
    <w:rsid w:val="009E0EC7"/>
    <w:rsid w:val="009E1415"/>
    <w:rsid w:val="009E20F8"/>
    <w:rsid w:val="009E3A20"/>
    <w:rsid w:val="009E4896"/>
    <w:rsid w:val="009E4A57"/>
    <w:rsid w:val="009E5CBB"/>
    <w:rsid w:val="009E6116"/>
    <w:rsid w:val="009E6850"/>
    <w:rsid w:val="009F0440"/>
    <w:rsid w:val="009F16B1"/>
    <w:rsid w:val="009F2B03"/>
    <w:rsid w:val="009F443C"/>
    <w:rsid w:val="009F7AE1"/>
    <w:rsid w:val="00A0129D"/>
    <w:rsid w:val="00A01C09"/>
    <w:rsid w:val="00A024BD"/>
    <w:rsid w:val="00A02E43"/>
    <w:rsid w:val="00A05116"/>
    <w:rsid w:val="00A05CED"/>
    <w:rsid w:val="00A062D3"/>
    <w:rsid w:val="00A065F9"/>
    <w:rsid w:val="00A07126"/>
    <w:rsid w:val="00A07F34"/>
    <w:rsid w:val="00A11108"/>
    <w:rsid w:val="00A11578"/>
    <w:rsid w:val="00A11EDF"/>
    <w:rsid w:val="00A13644"/>
    <w:rsid w:val="00A1364F"/>
    <w:rsid w:val="00A13D9D"/>
    <w:rsid w:val="00A14BD0"/>
    <w:rsid w:val="00A15574"/>
    <w:rsid w:val="00A16690"/>
    <w:rsid w:val="00A171D5"/>
    <w:rsid w:val="00A178C0"/>
    <w:rsid w:val="00A22154"/>
    <w:rsid w:val="00A2433F"/>
    <w:rsid w:val="00A24743"/>
    <w:rsid w:val="00A25ABE"/>
    <w:rsid w:val="00A25C38"/>
    <w:rsid w:val="00A267C8"/>
    <w:rsid w:val="00A273A2"/>
    <w:rsid w:val="00A3335D"/>
    <w:rsid w:val="00A33803"/>
    <w:rsid w:val="00A33CB6"/>
    <w:rsid w:val="00A352CE"/>
    <w:rsid w:val="00A36BBE"/>
    <w:rsid w:val="00A37A27"/>
    <w:rsid w:val="00A37EFA"/>
    <w:rsid w:val="00A425A4"/>
    <w:rsid w:val="00A43052"/>
    <w:rsid w:val="00A4307A"/>
    <w:rsid w:val="00A43372"/>
    <w:rsid w:val="00A44311"/>
    <w:rsid w:val="00A45603"/>
    <w:rsid w:val="00A46A4E"/>
    <w:rsid w:val="00A46CA1"/>
    <w:rsid w:val="00A470E4"/>
    <w:rsid w:val="00A47EBB"/>
    <w:rsid w:val="00A50841"/>
    <w:rsid w:val="00A51CDD"/>
    <w:rsid w:val="00A52EA1"/>
    <w:rsid w:val="00A54403"/>
    <w:rsid w:val="00A54808"/>
    <w:rsid w:val="00A572C7"/>
    <w:rsid w:val="00A57420"/>
    <w:rsid w:val="00A57B3C"/>
    <w:rsid w:val="00A609C7"/>
    <w:rsid w:val="00A62D49"/>
    <w:rsid w:val="00A6721E"/>
    <w:rsid w:val="00A6730D"/>
    <w:rsid w:val="00A712EC"/>
    <w:rsid w:val="00A71625"/>
    <w:rsid w:val="00A717EA"/>
    <w:rsid w:val="00A71B9B"/>
    <w:rsid w:val="00A720A6"/>
    <w:rsid w:val="00A7231D"/>
    <w:rsid w:val="00A7272B"/>
    <w:rsid w:val="00A72A02"/>
    <w:rsid w:val="00A74546"/>
    <w:rsid w:val="00A7484E"/>
    <w:rsid w:val="00A751C7"/>
    <w:rsid w:val="00A75652"/>
    <w:rsid w:val="00A75BCB"/>
    <w:rsid w:val="00A75D56"/>
    <w:rsid w:val="00A7787B"/>
    <w:rsid w:val="00A8128D"/>
    <w:rsid w:val="00A81970"/>
    <w:rsid w:val="00A8262A"/>
    <w:rsid w:val="00A82856"/>
    <w:rsid w:val="00A83146"/>
    <w:rsid w:val="00A8507F"/>
    <w:rsid w:val="00A85453"/>
    <w:rsid w:val="00A85B12"/>
    <w:rsid w:val="00A85BD1"/>
    <w:rsid w:val="00A86CFB"/>
    <w:rsid w:val="00A87844"/>
    <w:rsid w:val="00A9030C"/>
    <w:rsid w:val="00A91F40"/>
    <w:rsid w:val="00A95188"/>
    <w:rsid w:val="00A95808"/>
    <w:rsid w:val="00A96802"/>
    <w:rsid w:val="00AA038C"/>
    <w:rsid w:val="00AA14A4"/>
    <w:rsid w:val="00AA2A72"/>
    <w:rsid w:val="00AA367C"/>
    <w:rsid w:val="00AA4016"/>
    <w:rsid w:val="00AA403D"/>
    <w:rsid w:val="00AA7603"/>
    <w:rsid w:val="00AA7A09"/>
    <w:rsid w:val="00AA7C08"/>
    <w:rsid w:val="00AB0B59"/>
    <w:rsid w:val="00AB2C83"/>
    <w:rsid w:val="00AB2D2A"/>
    <w:rsid w:val="00AB3B50"/>
    <w:rsid w:val="00AB3C89"/>
    <w:rsid w:val="00AB4852"/>
    <w:rsid w:val="00AB5B29"/>
    <w:rsid w:val="00AC05B1"/>
    <w:rsid w:val="00AC0681"/>
    <w:rsid w:val="00AC2BAE"/>
    <w:rsid w:val="00AC395F"/>
    <w:rsid w:val="00AC6E94"/>
    <w:rsid w:val="00AD356C"/>
    <w:rsid w:val="00AD35FD"/>
    <w:rsid w:val="00AD664E"/>
    <w:rsid w:val="00AD7003"/>
    <w:rsid w:val="00AE06C7"/>
    <w:rsid w:val="00AE07F5"/>
    <w:rsid w:val="00AE2914"/>
    <w:rsid w:val="00AE3967"/>
    <w:rsid w:val="00AE432F"/>
    <w:rsid w:val="00AE4DF3"/>
    <w:rsid w:val="00AE6D15"/>
    <w:rsid w:val="00AE7229"/>
    <w:rsid w:val="00AF035D"/>
    <w:rsid w:val="00AF04C2"/>
    <w:rsid w:val="00AF2131"/>
    <w:rsid w:val="00AF21D0"/>
    <w:rsid w:val="00AF2553"/>
    <w:rsid w:val="00AF4856"/>
    <w:rsid w:val="00AF4F0F"/>
    <w:rsid w:val="00B0012F"/>
    <w:rsid w:val="00B01CD5"/>
    <w:rsid w:val="00B04182"/>
    <w:rsid w:val="00B07AE3"/>
    <w:rsid w:val="00B10959"/>
    <w:rsid w:val="00B11430"/>
    <w:rsid w:val="00B119C1"/>
    <w:rsid w:val="00B12105"/>
    <w:rsid w:val="00B12FB4"/>
    <w:rsid w:val="00B136B7"/>
    <w:rsid w:val="00B14342"/>
    <w:rsid w:val="00B14653"/>
    <w:rsid w:val="00B1513E"/>
    <w:rsid w:val="00B174DE"/>
    <w:rsid w:val="00B206BA"/>
    <w:rsid w:val="00B21AC5"/>
    <w:rsid w:val="00B226B1"/>
    <w:rsid w:val="00B2567A"/>
    <w:rsid w:val="00B301A8"/>
    <w:rsid w:val="00B30BAC"/>
    <w:rsid w:val="00B353EB"/>
    <w:rsid w:val="00B36B99"/>
    <w:rsid w:val="00B36C84"/>
    <w:rsid w:val="00B376D6"/>
    <w:rsid w:val="00B439C4"/>
    <w:rsid w:val="00B4434C"/>
    <w:rsid w:val="00B44DAE"/>
    <w:rsid w:val="00B4535E"/>
    <w:rsid w:val="00B46425"/>
    <w:rsid w:val="00B4656B"/>
    <w:rsid w:val="00B47443"/>
    <w:rsid w:val="00B47788"/>
    <w:rsid w:val="00B50DB2"/>
    <w:rsid w:val="00B52A8C"/>
    <w:rsid w:val="00B53569"/>
    <w:rsid w:val="00B5484C"/>
    <w:rsid w:val="00B579D5"/>
    <w:rsid w:val="00B57BE9"/>
    <w:rsid w:val="00B610A7"/>
    <w:rsid w:val="00B62291"/>
    <w:rsid w:val="00B6255C"/>
    <w:rsid w:val="00B6312A"/>
    <w:rsid w:val="00B636A8"/>
    <w:rsid w:val="00B63BCA"/>
    <w:rsid w:val="00B665C6"/>
    <w:rsid w:val="00B7066C"/>
    <w:rsid w:val="00B70749"/>
    <w:rsid w:val="00B7144A"/>
    <w:rsid w:val="00B71F59"/>
    <w:rsid w:val="00B7265F"/>
    <w:rsid w:val="00B72EBA"/>
    <w:rsid w:val="00B805AF"/>
    <w:rsid w:val="00B81035"/>
    <w:rsid w:val="00B81C84"/>
    <w:rsid w:val="00B82481"/>
    <w:rsid w:val="00B830B1"/>
    <w:rsid w:val="00B836CB"/>
    <w:rsid w:val="00B85200"/>
    <w:rsid w:val="00B869EC"/>
    <w:rsid w:val="00B87973"/>
    <w:rsid w:val="00B87D40"/>
    <w:rsid w:val="00B913B7"/>
    <w:rsid w:val="00B92E52"/>
    <w:rsid w:val="00B93457"/>
    <w:rsid w:val="00B9397A"/>
    <w:rsid w:val="00B951DB"/>
    <w:rsid w:val="00B96216"/>
    <w:rsid w:val="00B9633D"/>
    <w:rsid w:val="00B9711B"/>
    <w:rsid w:val="00B97F4A"/>
    <w:rsid w:val="00BA1928"/>
    <w:rsid w:val="00BA2EBE"/>
    <w:rsid w:val="00BA34BF"/>
    <w:rsid w:val="00BA5F61"/>
    <w:rsid w:val="00BA7A1C"/>
    <w:rsid w:val="00BA7E4F"/>
    <w:rsid w:val="00BB051D"/>
    <w:rsid w:val="00BB0F28"/>
    <w:rsid w:val="00BB3ADF"/>
    <w:rsid w:val="00BB3E33"/>
    <w:rsid w:val="00BB3FB9"/>
    <w:rsid w:val="00BB458A"/>
    <w:rsid w:val="00BB45AE"/>
    <w:rsid w:val="00BB59CC"/>
    <w:rsid w:val="00BB5E73"/>
    <w:rsid w:val="00BB6DD8"/>
    <w:rsid w:val="00BB7E16"/>
    <w:rsid w:val="00BC1044"/>
    <w:rsid w:val="00BC1E4A"/>
    <w:rsid w:val="00BC2D0B"/>
    <w:rsid w:val="00BC49BC"/>
    <w:rsid w:val="00BC5FFA"/>
    <w:rsid w:val="00BC655A"/>
    <w:rsid w:val="00BC6798"/>
    <w:rsid w:val="00BC790A"/>
    <w:rsid w:val="00BD00D3"/>
    <w:rsid w:val="00BD03C0"/>
    <w:rsid w:val="00BD05C6"/>
    <w:rsid w:val="00BD0A76"/>
    <w:rsid w:val="00BD0DFE"/>
    <w:rsid w:val="00BD1659"/>
    <w:rsid w:val="00BD22CC"/>
    <w:rsid w:val="00BD3AA9"/>
    <w:rsid w:val="00BD4640"/>
    <w:rsid w:val="00BD4A18"/>
    <w:rsid w:val="00BD6DB2"/>
    <w:rsid w:val="00BE0E86"/>
    <w:rsid w:val="00BE1047"/>
    <w:rsid w:val="00BE11CF"/>
    <w:rsid w:val="00BE21AB"/>
    <w:rsid w:val="00BE2475"/>
    <w:rsid w:val="00BE25C8"/>
    <w:rsid w:val="00BE2AEE"/>
    <w:rsid w:val="00BE55CB"/>
    <w:rsid w:val="00BE70E4"/>
    <w:rsid w:val="00BE796C"/>
    <w:rsid w:val="00BF13FF"/>
    <w:rsid w:val="00BF3961"/>
    <w:rsid w:val="00BF4EE1"/>
    <w:rsid w:val="00BF617A"/>
    <w:rsid w:val="00BF7E84"/>
    <w:rsid w:val="00C00621"/>
    <w:rsid w:val="00C03422"/>
    <w:rsid w:val="00C034E7"/>
    <w:rsid w:val="00C03788"/>
    <w:rsid w:val="00C0379D"/>
    <w:rsid w:val="00C03931"/>
    <w:rsid w:val="00C058BD"/>
    <w:rsid w:val="00C05FE3"/>
    <w:rsid w:val="00C073EE"/>
    <w:rsid w:val="00C07631"/>
    <w:rsid w:val="00C07CA8"/>
    <w:rsid w:val="00C10E6B"/>
    <w:rsid w:val="00C11CB8"/>
    <w:rsid w:val="00C12235"/>
    <w:rsid w:val="00C1633D"/>
    <w:rsid w:val="00C16395"/>
    <w:rsid w:val="00C206C9"/>
    <w:rsid w:val="00C2136D"/>
    <w:rsid w:val="00C214EE"/>
    <w:rsid w:val="00C21514"/>
    <w:rsid w:val="00C21D43"/>
    <w:rsid w:val="00C22463"/>
    <w:rsid w:val="00C22580"/>
    <w:rsid w:val="00C2314B"/>
    <w:rsid w:val="00C24453"/>
    <w:rsid w:val="00C24971"/>
    <w:rsid w:val="00C24CB7"/>
    <w:rsid w:val="00C26B1C"/>
    <w:rsid w:val="00C26BE5"/>
    <w:rsid w:val="00C26E4D"/>
    <w:rsid w:val="00C272BC"/>
    <w:rsid w:val="00C278F8"/>
    <w:rsid w:val="00C27909"/>
    <w:rsid w:val="00C27B03"/>
    <w:rsid w:val="00C30906"/>
    <w:rsid w:val="00C31027"/>
    <w:rsid w:val="00C31424"/>
    <w:rsid w:val="00C314E1"/>
    <w:rsid w:val="00C31681"/>
    <w:rsid w:val="00C319DB"/>
    <w:rsid w:val="00C335FA"/>
    <w:rsid w:val="00C34397"/>
    <w:rsid w:val="00C34C90"/>
    <w:rsid w:val="00C378D5"/>
    <w:rsid w:val="00C40749"/>
    <w:rsid w:val="00C4095D"/>
    <w:rsid w:val="00C41D2B"/>
    <w:rsid w:val="00C41EEC"/>
    <w:rsid w:val="00C4251B"/>
    <w:rsid w:val="00C4321C"/>
    <w:rsid w:val="00C435FA"/>
    <w:rsid w:val="00C44002"/>
    <w:rsid w:val="00C44F45"/>
    <w:rsid w:val="00C45245"/>
    <w:rsid w:val="00C465A7"/>
    <w:rsid w:val="00C50F9D"/>
    <w:rsid w:val="00C5102C"/>
    <w:rsid w:val="00C51A7C"/>
    <w:rsid w:val="00C5271D"/>
    <w:rsid w:val="00C5298C"/>
    <w:rsid w:val="00C53852"/>
    <w:rsid w:val="00C54C92"/>
    <w:rsid w:val="00C55183"/>
    <w:rsid w:val="00C55D3D"/>
    <w:rsid w:val="00C5620D"/>
    <w:rsid w:val="00C57824"/>
    <w:rsid w:val="00C601D2"/>
    <w:rsid w:val="00C620B7"/>
    <w:rsid w:val="00C62571"/>
    <w:rsid w:val="00C64CB6"/>
    <w:rsid w:val="00C6502A"/>
    <w:rsid w:val="00C65BCC"/>
    <w:rsid w:val="00C65CBA"/>
    <w:rsid w:val="00C66970"/>
    <w:rsid w:val="00C6740D"/>
    <w:rsid w:val="00C724F4"/>
    <w:rsid w:val="00C74FAB"/>
    <w:rsid w:val="00C755C7"/>
    <w:rsid w:val="00C761AB"/>
    <w:rsid w:val="00C768A3"/>
    <w:rsid w:val="00C769B6"/>
    <w:rsid w:val="00C770C2"/>
    <w:rsid w:val="00C77CC0"/>
    <w:rsid w:val="00C77CE7"/>
    <w:rsid w:val="00C80EE4"/>
    <w:rsid w:val="00C80FFD"/>
    <w:rsid w:val="00C8199A"/>
    <w:rsid w:val="00C82606"/>
    <w:rsid w:val="00C82E8F"/>
    <w:rsid w:val="00C834CA"/>
    <w:rsid w:val="00C84F5E"/>
    <w:rsid w:val="00C8691C"/>
    <w:rsid w:val="00C871FF"/>
    <w:rsid w:val="00C87A32"/>
    <w:rsid w:val="00C90711"/>
    <w:rsid w:val="00C925F5"/>
    <w:rsid w:val="00C95AED"/>
    <w:rsid w:val="00C96F47"/>
    <w:rsid w:val="00C970B6"/>
    <w:rsid w:val="00CA0605"/>
    <w:rsid w:val="00CA119B"/>
    <w:rsid w:val="00CA168A"/>
    <w:rsid w:val="00CA2F0D"/>
    <w:rsid w:val="00CA357E"/>
    <w:rsid w:val="00CA44F9"/>
    <w:rsid w:val="00CA4A69"/>
    <w:rsid w:val="00CB149C"/>
    <w:rsid w:val="00CB15A2"/>
    <w:rsid w:val="00CB1BE3"/>
    <w:rsid w:val="00CB1D49"/>
    <w:rsid w:val="00CB32B3"/>
    <w:rsid w:val="00CB4FCD"/>
    <w:rsid w:val="00CB5ACA"/>
    <w:rsid w:val="00CB6079"/>
    <w:rsid w:val="00CB75E3"/>
    <w:rsid w:val="00CB7CBE"/>
    <w:rsid w:val="00CC0D1D"/>
    <w:rsid w:val="00CC3870"/>
    <w:rsid w:val="00CC3E0C"/>
    <w:rsid w:val="00CC42BD"/>
    <w:rsid w:val="00CC4C53"/>
    <w:rsid w:val="00CC58D3"/>
    <w:rsid w:val="00CC5E6D"/>
    <w:rsid w:val="00CC68AA"/>
    <w:rsid w:val="00CC784D"/>
    <w:rsid w:val="00CD0D34"/>
    <w:rsid w:val="00CD1A44"/>
    <w:rsid w:val="00CD5859"/>
    <w:rsid w:val="00CD6079"/>
    <w:rsid w:val="00CE1F4C"/>
    <w:rsid w:val="00CE21D0"/>
    <w:rsid w:val="00CE29A8"/>
    <w:rsid w:val="00CE7073"/>
    <w:rsid w:val="00CE7C7B"/>
    <w:rsid w:val="00CF0BF9"/>
    <w:rsid w:val="00CF1271"/>
    <w:rsid w:val="00CF1F97"/>
    <w:rsid w:val="00CF27E6"/>
    <w:rsid w:val="00CF2806"/>
    <w:rsid w:val="00CF2FCE"/>
    <w:rsid w:val="00CF47D2"/>
    <w:rsid w:val="00CF4F4F"/>
    <w:rsid w:val="00CF570E"/>
    <w:rsid w:val="00CF63EE"/>
    <w:rsid w:val="00CF6D46"/>
    <w:rsid w:val="00CF71D1"/>
    <w:rsid w:val="00CF7677"/>
    <w:rsid w:val="00CF7C2A"/>
    <w:rsid w:val="00D01535"/>
    <w:rsid w:val="00D0337B"/>
    <w:rsid w:val="00D034A1"/>
    <w:rsid w:val="00D05906"/>
    <w:rsid w:val="00D079B2"/>
    <w:rsid w:val="00D114E9"/>
    <w:rsid w:val="00D11E51"/>
    <w:rsid w:val="00D13A1D"/>
    <w:rsid w:val="00D13E12"/>
    <w:rsid w:val="00D13E1D"/>
    <w:rsid w:val="00D164DC"/>
    <w:rsid w:val="00D16E43"/>
    <w:rsid w:val="00D22545"/>
    <w:rsid w:val="00D22EC9"/>
    <w:rsid w:val="00D22EF5"/>
    <w:rsid w:val="00D23FE4"/>
    <w:rsid w:val="00D26F65"/>
    <w:rsid w:val="00D276AF"/>
    <w:rsid w:val="00D279A6"/>
    <w:rsid w:val="00D30387"/>
    <w:rsid w:val="00D30D71"/>
    <w:rsid w:val="00D31431"/>
    <w:rsid w:val="00D32515"/>
    <w:rsid w:val="00D326DB"/>
    <w:rsid w:val="00D32937"/>
    <w:rsid w:val="00D33038"/>
    <w:rsid w:val="00D34070"/>
    <w:rsid w:val="00D34AD6"/>
    <w:rsid w:val="00D34AED"/>
    <w:rsid w:val="00D34F12"/>
    <w:rsid w:val="00D3504D"/>
    <w:rsid w:val="00D35E7E"/>
    <w:rsid w:val="00D3633D"/>
    <w:rsid w:val="00D37100"/>
    <w:rsid w:val="00D37F7F"/>
    <w:rsid w:val="00D407AF"/>
    <w:rsid w:val="00D41394"/>
    <w:rsid w:val="00D41AE1"/>
    <w:rsid w:val="00D429C6"/>
    <w:rsid w:val="00D43A42"/>
    <w:rsid w:val="00D43AAC"/>
    <w:rsid w:val="00D44FA0"/>
    <w:rsid w:val="00D4545A"/>
    <w:rsid w:val="00D45718"/>
    <w:rsid w:val="00D46433"/>
    <w:rsid w:val="00D46B26"/>
    <w:rsid w:val="00D46FFA"/>
    <w:rsid w:val="00D470E0"/>
    <w:rsid w:val="00D47748"/>
    <w:rsid w:val="00D4777D"/>
    <w:rsid w:val="00D50D80"/>
    <w:rsid w:val="00D50E64"/>
    <w:rsid w:val="00D5174A"/>
    <w:rsid w:val="00D51DDD"/>
    <w:rsid w:val="00D54CC3"/>
    <w:rsid w:val="00D555DD"/>
    <w:rsid w:val="00D55652"/>
    <w:rsid w:val="00D57F21"/>
    <w:rsid w:val="00D600EF"/>
    <w:rsid w:val="00D6041A"/>
    <w:rsid w:val="00D62FE7"/>
    <w:rsid w:val="00D633EB"/>
    <w:rsid w:val="00D63868"/>
    <w:rsid w:val="00D644A6"/>
    <w:rsid w:val="00D64CA6"/>
    <w:rsid w:val="00D65B23"/>
    <w:rsid w:val="00D6729A"/>
    <w:rsid w:val="00D702FF"/>
    <w:rsid w:val="00D70355"/>
    <w:rsid w:val="00D70D2A"/>
    <w:rsid w:val="00D74583"/>
    <w:rsid w:val="00D77556"/>
    <w:rsid w:val="00D77FC7"/>
    <w:rsid w:val="00D80C1F"/>
    <w:rsid w:val="00D80C75"/>
    <w:rsid w:val="00D80F00"/>
    <w:rsid w:val="00D80F30"/>
    <w:rsid w:val="00D82D53"/>
    <w:rsid w:val="00D82FF7"/>
    <w:rsid w:val="00D83111"/>
    <w:rsid w:val="00D833A6"/>
    <w:rsid w:val="00D847FE"/>
    <w:rsid w:val="00D84C02"/>
    <w:rsid w:val="00D84CF8"/>
    <w:rsid w:val="00D84FAD"/>
    <w:rsid w:val="00D91B2E"/>
    <w:rsid w:val="00D91E1F"/>
    <w:rsid w:val="00D93573"/>
    <w:rsid w:val="00D9378C"/>
    <w:rsid w:val="00D939FC"/>
    <w:rsid w:val="00D945E4"/>
    <w:rsid w:val="00D96353"/>
    <w:rsid w:val="00D964EA"/>
    <w:rsid w:val="00D966D0"/>
    <w:rsid w:val="00D96FBB"/>
    <w:rsid w:val="00DA0C59"/>
    <w:rsid w:val="00DA1B8E"/>
    <w:rsid w:val="00DA1B92"/>
    <w:rsid w:val="00DA20AD"/>
    <w:rsid w:val="00DA3991"/>
    <w:rsid w:val="00DA6E20"/>
    <w:rsid w:val="00DA6FB6"/>
    <w:rsid w:val="00DA7C4D"/>
    <w:rsid w:val="00DB0AB9"/>
    <w:rsid w:val="00DB1663"/>
    <w:rsid w:val="00DB19B1"/>
    <w:rsid w:val="00DB3C8D"/>
    <w:rsid w:val="00DB3D01"/>
    <w:rsid w:val="00DB4F4A"/>
    <w:rsid w:val="00DB572B"/>
    <w:rsid w:val="00DB6130"/>
    <w:rsid w:val="00DB61D8"/>
    <w:rsid w:val="00DB6B2B"/>
    <w:rsid w:val="00DB7E6C"/>
    <w:rsid w:val="00DC1DBB"/>
    <w:rsid w:val="00DC2E5B"/>
    <w:rsid w:val="00DC3F3A"/>
    <w:rsid w:val="00DC4C15"/>
    <w:rsid w:val="00DD0226"/>
    <w:rsid w:val="00DD190B"/>
    <w:rsid w:val="00DD1D61"/>
    <w:rsid w:val="00DD47DA"/>
    <w:rsid w:val="00DD568E"/>
    <w:rsid w:val="00DD5912"/>
    <w:rsid w:val="00DD5A29"/>
    <w:rsid w:val="00DD5D9D"/>
    <w:rsid w:val="00DD6A7C"/>
    <w:rsid w:val="00DE18C3"/>
    <w:rsid w:val="00DE25D2"/>
    <w:rsid w:val="00DE311B"/>
    <w:rsid w:val="00DE35CB"/>
    <w:rsid w:val="00DE409F"/>
    <w:rsid w:val="00DE589B"/>
    <w:rsid w:val="00DE65C7"/>
    <w:rsid w:val="00DE66AC"/>
    <w:rsid w:val="00DE6730"/>
    <w:rsid w:val="00DF1386"/>
    <w:rsid w:val="00DF16F5"/>
    <w:rsid w:val="00DF21E9"/>
    <w:rsid w:val="00DF32BE"/>
    <w:rsid w:val="00DF3F16"/>
    <w:rsid w:val="00DF6DA9"/>
    <w:rsid w:val="00DF7446"/>
    <w:rsid w:val="00DF7B14"/>
    <w:rsid w:val="00E00F14"/>
    <w:rsid w:val="00E011A2"/>
    <w:rsid w:val="00E016E9"/>
    <w:rsid w:val="00E044A4"/>
    <w:rsid w:val="00E05075"/>
    <w:rsid w:val="00E058D5"/>
    <w:rsid w:val="00E05B42"/>
    <w:rsid w:val="00E05EB9"/>
    <w:rsid w:val="00E06200"/>
    <w:rsid w:val="00E06386"/>
    <w:rsid w:val="00E11309"/>
    <w:rsid w:val="00E1304E"/>
    <w:rsid w:val="00E1674F"/>
    <w:rsid w:val="00E16A8C"/>
    <w:rsid w:val="00E17399"/>
    <w:rsid w:val="00E17B9A"/>
    <w:rsid w:val="00E21340"/>
    <w:rsid w:val="00E21D3C"/>
    <w:rsid w:val="00E21E9A"/>
    <w:rsid w:val="00E23F88"/>
    <w:rsid w:val="00E24EB4"/>
    <w:rsid w:val="00E25D69"/>
    <w:rsid w:val="00E25EFC"/>
    <w:rsid w:val="00E264F2"/>
    <w:rsid w:val="00E26540"/>
    <w:rsid w:val="00E26C98"/>
    <w:rsid w:val="00E27026"/>
    <w:rsid w:val="00E3057D"/>
    <w:rsid w:val="00E31C4D"/>
    <w:rsid w:val="00E31FDE"/>
    <w:rsid w:val="00E320ED"/>
    <w:rsid w:val="00E3280E"/>
    <w:rsid w:val="00E33AFB"/>
    <w:rsid w:val="00E34218"/>
    <w:rsid w:val="00E343C4"/>
    <w:rsid w:val="00E35672"/>
    <w:rsid w:val="00E3577E"/>
    <w:rsid w:val="00E41826"/>
    <w:rsid w:val="00E42B4B"/>
    <w:rsid w:val="00E431CC"/>
    <w:rsid w:val="00E44E70"/>
    <w:rsid w:val="00E46065"/>
    <w:rsid w:val="00E46282"/>
    <w:rsid w:val="00E5216E"/>
    <w:rsid w:val="00E53FD3"/>
    <w:rsid w:val="00E576E8"/>
    <w:rsid w:val="00E578CB"/>
    <w:rsid w:val="00E57F0B"/>
    <w:rsid w:val="00E6033E"/>
    <w:rsid w:val="00E645D8"/>
    <w:rsid w:val="00E659EA"/>
    <w:rsid w:val="00E663EE"/>
    <w:rsid w:val="00E66567"/>
    <w:rsid w:val="00E701BC"/>
    <w:rsid w:val="00E707AC"/>
    <w:rsid w:val="00E716EB"/>
    <w:rsid w:val="00E7211F"/>
    <w:rsid w:val="00E72BB5"/>
    <w:rsid w:val="00E75829"/>
    <w:rsid w:val="00E75A55"/>
    <w:rsid w:val="00E76603"/>
    <w:rsid w:val="00E77CEC"/>
    <w:rsid w:val="00E80505"/>
    <w:rsid w:val="00E80EDA"/>
    <w:rsid w:val="00E81F55"/>
    <w:rsid w:val="00E82344"/>
    <w:rsid w:val="00E824D9"/>
    <w:rsid w:val="00E82B02"/>
    <w:rsid w:val="00E83DDB"/>
    <w:rsid w:val="00E84C82"/>
    <w:rsid w:val="00E84D64"/>
    <w:rsid w:val="00E85081"/>
    <w:rsid w:val="00E85DE1"/>
    <w:rsid w:val="00E861AB"/>
    <w:rsid w:val="00E861FB"/>
    <w:rsid w:val="00E86B9C"/>
    <w:rsid w:val="00E86DFB"/>
    <w:rsid w:val="00E87408"/>
    <w:rsid w:val="00E87E3F"/>
    <w:rsid w:val="00E9006C"/>
    <w:rsid w:val="00E90F51"/>
    <w:rsid w:val="00E914C4"/>
    <w:rsid w:val="00E934F5"/>
    <w:rsid w:val="00E95B74"/>
    <w:rsid w:val="00E96961"/>
    <w:rsid w:val="00EA0E13"/>
    <w:rsid w:val="00EA14C5"/>
    <w:rsid w:val="00EA1D4F"/>
    <w:rsid w:val="00EA3B13"/>
    <w:rsid w:val="00EA3CCF"/>
    <w:rsid w:val="00EA5099"/>
    <w:rsid w:val="00EA59B4"/>
    <w:rsid w:val="00EA72EC"/>
    <w:rsid w:val="00EB11CB"/>
    <w:rsid w:val="00EB275A"/>
    <w:rsid w:val="00EB28E2"/>
    <w:rsid w:val="00EB611E"/>
    <w:rsid w:val="00EB786A"/>
    <w:rsid w:val="00EC1578"/>
    <w:rsid w:val="00EC1C72"/>
    <w:rsid w:val="00EC3CC9"/>
    <w:rsid w:val="00EC680A"/>
    <w:rsid w:val="00EC6C1A"/>
    <w:rsid w:val="00ED1031"/>
    <w:rsid w:val="00ED1629"/>
    <w:rsid w:val="00ED2ED5"/>
    <w:rsid w:val="00ED3643"/>
    <w:rsid w:val="00ED44CE"/>
    <w:rsid w:val="00ED7975"/>
    <w:rsid w:val="00EE126E"/>
    <w:rsid w:val="00EE2BED"/>
    <w:rsid w:val="00EE3423"/>
    <w:rsid w:val="00EE374B"/>
    <w:rsid w:val="00EE6F41"/>
    <w:rsid w:val="00EF0EA2"/>
    <w:rsid w:val="00EF1BA9"/>
    <w:rsid w:val="00EF7300"/>
    <w:rsid w:val="00F0577D"/>
    <w:rsid w:val="00F06DA6"/>
    <w:rsid w:val="00F07905"/>
    <w:rsid w:val="00F07FE6"/>
    <w:rsid w:val="00F11BB5"/>
    <w:rsid w:val="00F124DA"/>
    <w:rsid w:val="00F1417B"/>
    <w:rsid w:val="00F162B5"/>
    <w:rsid w:val="00F1725C"/>
    <w:rsid w:val="00F17C34"/>
    <w:rsid w:val="00F20D43"/>
    <w:rsid w:val="00F219D3"/>
    <w:rsid w:val="00F23085"/>
    <w:rsid w:val="00F2316D"/>
    <w:rsid w:val="00F246C2"/>
    <w:rsid w:val="00F2499B"/>
    <w:rsid w:val="00F24FB1"/>
    <w:rsid w:val="00F266CD"/>
    <w:rsid w:val="00F30BA5"/>
    <w:rsid w:val="00F31BA8"/>
    <w:rsid w:val="00F34B99"/>
    <w:rsid w:val="00F35C4F"/>
    <w:rsid w:val="00F360FD"/>
    <w:rsid w:val="00F40A4C"/>
    <w:rsid w:val="00F40A91"/>
    <w:rsid w:val="00F44860"/>
    <w:rsid w:val="00F46378"/>
    <w:rsid w:val="00F4692C"/>
    <w:rsid w:val="00F50239"/>
    <w:rsid w:val="00F50A5A"/>
    <w:rsid w:val="00F516BF"/>
    <w:rsid w:val="00F52DAB"/>
    <w:rsid w:val="00F534A3"/>
    <w:rsid w:val="00F5400A"/>
    <w:rsid w:val="00F543F0"/>
    <w:rsid w:val="00F550EA"/>
    <w:rsid w:val="00F557C9"/>
    <w:rsid w:val="00F55C48"/>
    <w:rsid w:val="00F56BC4"/>
    <w:rsid w:val="00F57F22"/>
    <w:rsid w:val="00F6140F"/>
    <w:rsid w:val="00F624A7"/>
    <w:rsid w:val="00F62E7E"/>
    <w:rsid w:val="00F66ABC"/>
    <w:rsid w:val="00F677CE"/>
    <w:rsid w:val="00F70E98"/>
    <w:rsid w:val="00F72BCF"/>
    <w:rsid w:val="00F734F3"/>
    <w:rsid w:val="00F747B9"/>
    <w:rsid w:val="00F75E21"/>
    <w:rsid w:val="00F77341"/>
    <w:rsid w:val="00F7782E"/>
    <w:rsid w:val="00F81D29"/>
    <w:rsid w:val="00F82860"/>
    <w:rsid w:val="00F830B6"/>
    <w:rsid w:val="00F83F25"/>
    <w:rsid w:val="00F84053"/>
    <w:rsid w:val="00F84133"/>
    <w:rsid w:val="00F85E55"/>
    <w:rsid w:val="00F86EF8"/>
    <w:rsid w:val="00F8701C"/>
    <w:rsid w:val="00F9007F"/>
    <w:rsid w:val="00F90DC8"/>
    <w:rsid w:val="00F91C4D"/>
    <w:rsid w:val="00F928BC"/>
    <w:rsid w:val="00F92FD9"/>
    <w:rsid w:val="00F95A78"/>
    <w:rsid w:val="00F97695"/>
    <w:rsid w:val="00FA0B3A"/>
    <w:rsid w:val="00FA11AB"/>
    <w:rsid w:val="00FA1D6A"/>
    <w:rsid w:val="00FA282B"/>
    <w:rsid w:val="00FA2900"/>
    <w:rsid w:val="00FA58D6"/>
    <w:rsid w:val="00FA6684"/>
    <w:rsid w:val="00FA731E"/>
    <w:rsid w:val="00FB08E5"/>
    <w:rsid w:val="00FB09D5"/>
    <w:rsid w:val="00FB19DE"/>
    <w:rsid w:val="00FB1A82"/>
    <w:rsid w:val="00FB2B24"/>
    <w:rsid w:val="00FB2B38"/>
    <w:rsid w:val="00FB2DC5"/>
    <w:rsid w:val="00FB3CC0"/>
    <w:rsid w:val="00FB5E9B"/>
    <w:rsid w:val="00FB65DB"/>
    <w:rsid w:val="00FB6EA6"/>
    <w:rsid w:val="00FB6F7C"/>
    <w:rsid w:val="00FB7DCE"/>
    <w:rsid w:val="00FC11AD"/>
    <w:rsid w:val="00FC29C3"/>
    <w:rsid w:val="00FC335F"/>
    <w:rsid w:val="00FC39FF"/>
    <w:rsid w:val="00FC5B26"/>
    <w:rsid w:val="00FC6358"/>
    <w:rsid w:val="00FC744C"/>
    <w:rsid w:val="00FD1D48"/>
    <w:rsid w:val="00FD2CC0"/>
    <w:rsid w:val="00FD320D"/>
    <w:rsid w:val="00FD71E5"/>
    <w:rsid w:val="00FE11B3"/>
    <w:rsid w:val="00FE16D7"/>
    <w:rsid w:val="00FE23DE"/>
    <w:rsid w:val="00FE323F"/>
    <w:rsid w:val="00FE365E"/>
    <w:rsid w:val="00FE37E0"/>
    <w:rsid w:val="00FE5B81"/>
    <w:rsid w:val="00FE5F7A"/>
    <w:rsid w:val="00FE6085"/>
    <w:rsid w:val="00FE7D6A"/>
    <w:rsid w:val="00FF3309"/>
    <w:rsid w:val="00FF63A6"/>
    <w:rsid w:val="00FF63D5"/>
    <w:rsid w:val="019E1E76"/>
    <w:rsid w:val="02C66802"/>
    <w:rsid w:val="05787589"/>
    <w:rsid w:val="090103CB"/>
    <w:rsid w:val="483728EA"/>
    <w:rsid w:val="4B2F3E72"/>
    <w:rsid w:val="5A3B28FA"/>
    <w:rsid w:val="5BE965FC"/>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曲线连接符 10"/>
        <o:r id="V:Rule2" type="connector" idref="#曲线连接符 1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1"/>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152"/>
    <w:unhideWhenUsed/>
    <w:qFormat/>
    <w:uiPriority w:val="0"/>
    <w:pPr>
      <w:keepNext/>
      <w:keepLines/>
      <w:spacing w:before="260" w:after="260" w:line="416" w:lineRule="auto"/>
      <w:outlineLvl w:val="2"/>
    </w:pPr>
    <w:rPr>
      <w:b/>
      <w:bCs/>
      <w:sz w:val="32"/>
      <w:szCs w:val="32"/>
    </w:rPr>
  </w:style>
  <w:style w:type="character" w:default="1" w:styleId="36">
    <w:name w:val="Default Paragraph Font"/>
    <w:unhideWhenUsed/>
    <w:qFormat/>
    <w:uiPriority w:val="1"/>
  </w:style>
  <w:style w:type="table" w:default="1" w:styleId="43">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154"/>
    <w:qFormat/>
    <w:uiPriority w:val="0"/>
    <w:rPr>
      <w:b/>
      <w:bCs/>
    </w:rPr>
  </w:style>
  <w:style w:type="paragraph" w:styleId="6">
    <w:name w:val="annotation text"/>
    <w:basedOn w:val="1"/>
    <w:link w:val="153"/>
    <w:qFormat/>
    <w:uiPriority w:val="0"/>
    <w:pPr>
      <w:jc w:val="left"/>
    </w:pPr>
  </w:style>
  <w:style w:type="paragraph" w:styleId="7">
    <w:name w:val="toc 7"/>
    <w:basedOn w:val="1"/>
    <w:next w:val="1"/>
    <w:qFormat/>
    <w:uiPriority w:val="39"/>
    <w:pPr>
      <w:tabs>
        <w:tab w:val="right" w:leader="dot" w:pos="9241"/>
      </w:tabs>
      <w:ind w:firstLine="500" w:firstLineChars="500"/>
      <w:jc w:val="left"/>
    </w:pPr>
    <w:rPr>
      <w:rFonts w:ascii="宋体"/>
      <w:szCs w:val="21"/>
    </w:rPr>
  </w:style>
  <w:style w:type="paragraph" w:styleId="8">
    <w:name w:val="index 8"/>
    <w:basedOn w:val="1"/>
    <w:next w:val="1"/>
    <w:qFormat/>
    <w:uiPriority w:val="0"/>
    <w:pPr>
      <w:ind w:left="1680" w:hanging="210"/>
      <w:jc w:val="left"/>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jc w:val="left"/>
    </w:pPr>
    <w:rPr>
      <w:rFonts w:ascii="Calibri" w:hAnsi="Calibri"/>
      <w:sz w:val="20"/>
      <w:szCs w:val="20"/>
    </w:rPr>
  </w:style>
  <w:style w:type="paragraph" w:styleId="11">
    <w:name w:val="Document Map"/>
    <w:basedOn w:val="1"/>
    <w:semiHidden/>
    <w:qFormat/>
    <w:uiPriority w:val="0"/>
    <w:pPr>
      <w:shd w:val="clear" w:color="auto" w:fill="000080"/>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0" w:firstLineChars="100"/>
      <w:jc w:val="left"/>
    </w:pPr>
    <w:rPr>
      <w:rFonts w:ascii="宋体"/>
      <w:szCs w:val="21"/>
    </w:rPr>
  </w:style>
  <w:style w:type="paragraph" w:styleId="16">
    <w:name w:val="Plain Text"/>
    <w:basedOn w:val="1"/>
    <w:link w:val="147"/>
    <w:qFormat/>
    <w:uiPriority w:val="99"/>
    <w:rPr>
      <w:rFonts w:ascii="宋体" w:hAnsi="Courier New"/>
      <w:szCs w:val="20"/>
    </w:rPr>
  </w:style>
  <w:style w:type="paragraph" w:styleId="17">
    <w:name w:val="toc 8"/>
    <w:basedOn w:val="1"/>
    <w:next w:val="1"/>
    <w:qFormat/>
    <w:uiPriority w:val="39"/>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endnote text"/>
    <w:basedOn w:val="1"/>
    <w:semiHidden/>
    <w:qFormat/>
    <w:uiPriority w:val="0"/>
    <w:pPr>
      <w:snapToGrid w:val="0"/>
      <w:jc w:val="left"/>
    </w:pPr>
  </w:style>
  <w:style w:type="paragraph" w:styleId="20">
    <w:name w:val="Balloon Text"/>
    <w:basedOn w:val="1"/>
    <w:link w:val="148"/>
    <w:qFormat/>
    <w:uiPriority w:val="0"/>
    <w:rPr>
      <w:sz w:val="18"/>
      <w:szCs w:val="18"/>
    </w:rPr>
  </w:style>
  <w:style w:type="paragraph" w:styleId="21">
    <w:name w:val="footer"/>
    <w:basedOn w:val="1"/>
    <w:qFormat/>
    <w:uiPriority w:val="0"/>
    <w:pPr>
      <w:snapToGrid w:val="0"/>
      <w:ind w:right="210" w:rightChars="100"/>
      <w:jc w:val="right"/>
    </w:pPr>
    <w:rPr>
      <w:sz w:val="18"/>
      <w:szCs w:val="18"/>
    </w:rPr>
  </w:style>
  <w:style w:type="paragraph" w:styleId="22">
    <w:name w:val="header"/>
    <w:basedOn w:val="1"/>
    <w:link w:val="149"/>
    <w:qFormat/>
    <w:uiPriority w:val="99"/>
    <w:pPr>
      <w:snapToGrid w:val="0"/>
      <w:jc w:val="left"/>
    </w:pPr>
    <w:rPr>
      <w:sz w:val="18"/>
      <w:szCs w:val="18"/>
    </w:rPr>
  </w:style>
  <w:style w:type="paragraph" w:styleId="23">
    <w:name w:val="toc 1"/>
    <w:basedOn w:val="1"/>
    <w:next w:val="1"/>
    <w:qFormat/>
    <w:uiPriority w:val="39"/>
    <w:pPr>
      <w:tabs>
        <w:tab w:val="right" w:leader="dot" w:pos="9242"/>
      </w:tabs>
      <w:spacing w:beforeLines="25" w:afterLines="25"/>
      <w:jc w:val="left"/>
    </w:pPr>
    <w:rPr>
      <w:rFonts w:ascii="宋体"/>
      <w:szCs w:val="21"/>
    </w:rPr>
  </w:style>
  <w:style w:type="paragraph" w:styleId="24">
    <w:name w:val="toc 4"/>
    <w:basedOn w:val="1"/>
    <w:next w:val="1"/>
    <w:qFormat/>
    <w:uiPriority w:val="39"/>
    <w:pPr>
      <w:tabs>
        <w:tab w:val="right" w:leader="dot" w:pos="9241"/>
      </w:tabs>
      <w:ind w:firstLine="200"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1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1"/>
      </w:numPr>
      <w:tabs>
        <w:tab w:val="left" w:pos="0"/>
      </w:tabs>
      <w:snapToGrid w:val="0"/>
      <w:jc w:val="left"/>
    </w:pPr>
    <w:rPr>
      <w:rFonts w:ascii="宋体"/>
      <w:sz w:val="18"/>
      <w:szCs w:val="18"/>
    </w:rPr>
  </w:style>
  <w:style w:type="paragraph" w:styleId="29">
    <w:name w:val="toc 6"/>
    <w:basedOn w:val="1"/>
    <w:next w:val="1"/>
    <w:qFormat/>
    <w:uiPriority w:val="39"/>
    <w:pPr>
      <w:tabs>
        <w:tab w:val="right" w:leader="dot" w:pos="9241"/>
      </w:tabs>
      <w:ind w:firstLine="400" w:firstLineChars="400"/>
      <w:jc w:val="left"/>
    </w:pPr>
    <w:rPr>
      <w:rFonts w:ascii="宋体"/>
      <w:szCs w:val="21"/>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tabs>
        <w:tab w:val="right" w:leader="dot" w:pos="9242"/>
      </w:tabs>
    </w:pPr>
    <w:rPr>
      <w:rFonts w:ascii="宋体"/>
      <w:szCs w:val="21"/>
    </w:rPr>
  </w:style>
  <w:style w:type="paragraph" w:styleId="33">
    <w:name w:val="toc 9"/>
    <w:basedOn w:val="1"/>
    <w:next w:val="1"/>
    <w:qFormat/>
    <w:uiPriority w:val="39"/>
    <w:pPr>
      <w:ind w:left="1470"/>
      <w:jc w:val="left"/>
    </w:pPr>
    <w:rPr>
      <w:sz w:val="20"/>
      <w:szCs w:val="20"/>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2"/>
    <w:basedOn w:val="1"/>
    <w:next w:val="1"/>
    <w:qFormat/>
    <w:uiPriority w:val="0"/>
    <w:pPr>
      <w:ind w:left="420" w:hanging="210"/>
      <w:jc w:val="left"/>
    </w:pPr>
    <w:rPr>
      <w:rFonts w:ascii="Calibri" w:hAnsi="Calibri"/>
      <w:sz w:val="20"/>
      <w:szCs w:val="20"/>
    </w:rPr>
  </w:style>
  <w:style w:type="character" w:styleId="37">
    <w:name w:val="endnote reference"/>
    <w:basedOn w:val="36"/>
    <w:semiHidden/>
    <w:qFormat/>
    <w:uiPriority w:val="0"/>
    <w:rPr>
      <w:vertAlign w:val="superscript"/>
    </w:rPr>
  </w:style>
  <w:style w:type="character" w:styleId="38">
    <w:name w:val="page number"/>
    <w:basedOn w:val="36"/>
    <w:qFormat/>
    <w:uiPriority w:val="0"/>
    <w:rPr>
      <w:rFonts w:ascii="Times New Roman" w:hAnsi="Times New Roman" w:eastAsia="宋体"/>
      <w:sz w:val="18"/>
    </w:rPr>
  </w:style>
  <w:style w:type="character" w:styleId="39">
    <w:name w:val="FollowedHyperlink"/>
    <w:basedOn w:val="36"/>
    <w:qFormat/>
    <w:uiPriority w:val="0"/>
    <w:rPr>
      <w:color w:val="800080"/>
      <w:u w:val="single"/>
    </w:rPr>
  </w:style>
  <w:style w:type="character" w:styleId="40">
    <w:name w:val="Hyperlink"/>
    <w:basedOn w:val="36"/>
    <w:qFormat/>
    <w:uiPriority w:val="99"/>
    <w:rPr>
      <w:color w:val="0000FF"/>
      <w:spacing w:val="0"/>
      <w:w w:val="100"/>
      <w:szCs w:val="21"/>
      <w:u w:val="single"/>
    </w:rPr>
  </w:style>
  <w:style w:type="character" w:styleId="41">
    <w:name w:val="annotation reference"/>
    <w:basedOn w:val="36"/>
    <w:qFormat/>
    <w:uiPriority w:val="0"/>
    <w:rPr>
      <w:sz w:val="21"/>
      <w:szCs w:val="21"/>
    </w:rPr>
  </w:style>
  <w:style w:type="character" w:styleId="42">
    <w:name w:val="footnote reference"/>
    <w:basedOn w:val="36"/>
    <w:semiHidden/>
    <w:qFormat/>
    <w:uiPriority w:val="0"/>
    <w:rPr>
      <w:vertAlign w:val="superscript"/>
    </w:rPr>
  </w:style>
  <w:style w:type="table" w:styleId="44">
    <w:name w:val="Table Grid"/>
    <w:basedOn w:val="43"/>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45">
    <w:name w:val="Table Theme"/>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6">
    <w:name w:val="一级条标题"/>
    <w:next w:val="27"/>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9">
    <w:name w:val="章标题"/>
    <w:next w:val="27"/>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0">
    <w:name w:val="二级条标题"/>
    <w:basedOn w:val="46"/>
    <w:next w:val="27"/>
    <w:qFormat/>
    <w:uiPriority w:val="0"/>
    <w:pPr>
      <w:numPr>
        <w:ilvl w:val="2"/>
      </w:numPr>
      <w:spacing w:before="50" w:after="50"/>
      <w:outlineLvl w:val="3"/>
    </w:pPr>
  </w:style>
  <w:style w:type="paragraph" w:customStyle="1" w:styleId="51">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2">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3">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4">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5">
    <w:name w:val="三级条标题"/>
    <w:basedOn w:val="50"/>
    <w:next w:val="27"/>
    <w:qFormat/>
    <w:uiPriority w:val="0"/>
    <w:pPr>
      <w:numPr>
        <w:ilvl w:val="3"/>
      </w:numPr>
      <w:outlineLvl w:val="4"/>
    </w:pPr>
  </w:style>
  <w:style w:type="paragraph" w:customStyle="1" w:styleId="56">
    <w:name w:val="示例"/>
    <w:next w:val="57"/>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8">
    <w:name w:val="数字编号列项（二级）"/>
    <w:qFormat/>
    <w:uiPriority w:val="0"/>
    <w:pPr>
      <w:numPr>
        <w:ilvl w:val="1"/>
        <w:numId w:val="5"/>
      </w:numPr>
      <w:tabs>
        <w:tab w:val="left" w:pos="839"/>
      </w:tabs>
      <w:jc w:val="both"/>
    </w:pPr>
    <w:rPr>
      <w:rFonts w:ascii="宋体" w:hAnsi="Times New Roman" w:eastAsia="宋体" w:cs="Times New Roman"/>
      <w:sz w:val="21"/>
      <w:lang w:val="en-US" w:eastAsia="zh-CN" w:bidi="ar-SA"/>
    </w:rPr>
  </w:style>
  <w:style w:type="paragraph" w:customStyle="1" w:styleId="59">
    <w:name w:val="四级条标题"/>
    <w:basedOn w:val="55"/>
    <w:next w:val="27"/>
    <w:qFormat/>
    <w:uiPriority w:val="0"/>
    <w:pPr>
      <w:numPr>
        <w:ilvl w:val="4"/>
      </w:numPr>
      <w:outlineLvl w:val="5"/>
    </w:pPr>
  </w:style>
  <w:style w:type="paragraph" w:customStyle="1" w:styleId="60">
    <w:name w:val="五级条标题"/>
    <w:basedOn w:val="59"/>
    <w:next w:val="27"/>
    <w:qFormat/>
    <w:uiPriority w:val="0"/>
    <w:pPr>
      <w:numPr>
        <w:ilvl w:val="5"/>
      </w:numPr>
      <w:outlineLvl w:val="6"/>
    </w:pPr>
  </w:style>
  <w:style w:type="paragraph" w:customStyle="1" w:styleId="61">
    <w:name w:val="注："/>
    <w:next w:val="27"/>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2">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3">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4">
    <w:name w:val="列项◆（三级）"/>
    <w:basedOn w:val="1"/>
    <w:qFormat/>
    <w:uiPriority w:val="0"/>
    <w:pPr>
      <w:numPr>
        <w:ilvl w:val="2"/>
        <w:numId w:val="3"/>
      </w:numPr>
      <w:tabs>
        <w:tab w:val="left" w:pos="2104"/>
      </w:tabs>
    </w:pPr>
    <w:rPr>
      <w:rFonts w:ascii="宋体"/>
      <w:szCs w:val="21"/>
    </w:rPr>
  </w:style>
  <w:style w:type="paragraph" w:customStyle="1" w:styleId="65">
    <w:name w:val="编号列项（三级）"/>
    <w:qFormat/>
    <w:uiPriority w:val="0"/>
    <w:rPr>
      <w:rFonts w:ascii="宋体" w:hAnsi="Times New Roman" w:eastAsia="宋体" w:cs="Times New Roman"/>
      <w:sz w:val="21"/>
      <w:lang w:val="en-US" w:eastAsia="zh-CN" w:bidi="ar-SA"/>
    </w:rPr>
  </w:style>
  <w:style w:type="paragraph" w:customStyle="1" w:styleId="66">
    <w:name w:val="示例×："/>
    <w:basedOn w:val="49"/>
    <w:qFormat/>
    <w:uiPriority w:val="0"/>
    <w:pPr>
      <w:numPr>
        <w:numId w:val="8"/>
      </w:numPr>
      <w:spacing w:beforeLines="0" w:afterLines="0"/>
      <w:outlineLvl w:val="9"/>
    </w:pPr>
    <w:rPr>
      <w:rFonts w:ascii="宋体" w:eastAsia="宋体"/>
      <w:sz w:val="18"/>
      <w:szCs w:val="18"/>
    </w:rPr>
  </w:style>
  <w:style w:type="paragraph" w:customStyle="1" w:styleId="67">
    <w:name w:val="二级无"/>
    <w:basedOn w:val="50"/>
    <w:qFormat/>
    <w:uiPriority w:val="0"/>
    <w:pPr>
      <w:spacing w:beforeLines="0" w:afterLines="0"/>
    </w:pPr>
    <w:rPr>
      <w:rFonts w:ascii="宋体" w:eastAsia="宋体"/>
    </w:rPr>
  </w:style>
  <w:style w:type="paragraph" w:customStyle="1" w:styleId="68">
    <w:name w:val="注：（正文）"/>
    <w:basedOn w:val="61"/>
    <w:next w:val="27"/>
    <w:qFormat/>
    <w:uiPriority w:val="0"/>
  </w:style>
  <w:style w:type="paragraph" w:customStyle="1" w:styleId="69">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3">
    <w:name w:val="标准书眉_偶数页"/>
    <w:basedOn w:val="48"/>
    <w:next w:val="1"/>
    <w:qFormat/>
    <w:uiPriority w:val="0"/>
    <w:pPr>
      <w:jc w:val="left"/>
    </w:pPr>
  </w:style>
  <w:style w:type="paragraph" w:customStyle="1" w:styleId="74">
    <w:name w:val="标准书眉一"/>
    <w:qFormat/>
    <w:uiPriority w:val="0"/>
    <w:pPr>
      <w:jc w:val="both"/>
    </w:pPr>
    <w:rPr>
      <w:rFonts w:ascii="Times New Roman" w:hAnsi="Times New Roman" w:eastAsia="宋体" w:cs="Times New Roman"/>
      <w:lang w:val="en-US" w:eastAsia="zh-CN" w:bidi="ar-SA"/>
    </w:rPr>
  </w:style>
  <w:style w:type="paragraph" w:customStyle="1" w:styleId="75">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7">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8">
    <w:name w:val="发布日期"/>
    <w:qFormat/>
    <w:uiPriority w:val="0"/>
    <w:rPr>
      <w:rFonts w:ascii="Times New Roman" w:hAnsi="Times New Roman" w:eastAsia="黑体" w:cs="Times New Roman"/>
      <w:sz w:val="28"/>
      <w:lang w:val="en-US" w:eastAsia="zh-CN" w:bidi="ar-SA"/>
    </w:rPr>
  </w:style>
  <w:style w:type="paragraph" w:customStyle="1" w:styleId="79">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8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2">
    <w:name w:val="封面标准英文名称"/>
    <w:basedOn w:val="81"/>
    <w:qFormat/>
    <w:uiPriority w:val="0"/>
    <w:pPr>
      <w:framePr w:wrap="around" w:vAnchor="margin" w:hAnchor="text" w:y="1"/>
      <w:spacing w:before="370" w:line="400" w:lineRule="exact"/>
    </w:pPr>
    <w:rPr>
      <w:rFonts w:ascii="Times New Roman"/>
      <w:sz w:val="28"/>
      <w:szCs w:val="28"/>
    </w:rPr>
  </w:style>
  <w:style w:type="paragraph" w:customStyle="1" w:styleId="83">
    <w:name w:val="封面一致性程度标识"/>
    <w:basedOn w:val="82"/>
    <w:qFormat/>
    <w:uiPriority w:val="0"/>
    <w:pPr>
      <w:spacing w:before="440"/>
    </w:pPr>
    <w:rPr>
      <w:rFonts w:ascii="宋体" w:eastAsia="宋体"/>
    </w:rPr>
  </w:style>
  <w:style w:type="paragraph" w:customStyle="1" w:styleId="84">
    <w:name w:val="封面标准文稿类别"/>
    <w:basedOn w:val="83"/>
    <w:qFormat/>
    <w:uiPriority w:val="0"/>
    <w:pPr>
      <w:spacing w:after="160" w:line="240" w:lineRule="auto"/>
    </w:pPr>
    <w:rPr>
      <w:sz w:val="24"/>
    </w:rPr>
  </w:style>
  <w:style w:type="paragraph" w:customStyle="1" w:styleId="85">
    <w:name w:val="封面标准文稿编辑信息"/>
    <w:basedOn w:val="84"/>
    <w:qFormat/>
    <w:uiPriority w:val="0"/>
    <w:pPr>
      <w:spacing w:before="180" w:line="180" w:lineRule="exact"/>
    </w:pPr>
    <w:rPr>
      <w:sz w:val="21"/>
    </w:rPr>
  </w:style>
  <w:style w:type="paragraph" w:customStyle="1" w:styleId="86">
    <w:name w:val="封面正文"/>
    <w:qFormat/>
    <w:uiPriority w:val="0"/>
    <w:pPr>
      <w:jc w:val="both"/>
    </w:pPr>
    <w:rPr>
      <w:rFonts w:ascii="Times New Roman" w:hAnsi="Times New Roman" w:eastAsia="宋体" w:cs="Times New Roman"/>
      <w:lang w:val="en-US" w:eastAsia="zh-CN" w:bidi="ar-SA"/>
    </w:rPr>
  </w:style>
  <w:style w:type="paragraph" w:customStyle="1" w:styleId="87">
    <w:name w:val="附录标识"/>
    <w:basedOn w:val="1"/>
    <w:next w:val="27"/>
    <w:qFormat/>
    <w:uiPriority w:val="0"/>
    <w:pPr>
      <w:keepNext/>
      <w:widowControl/>
      <w:numPr>
        <w:ilvl w:val="0"/>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88">
    <w:name w:val="附录标题"/>
    <w:basedOn w:val="27"/>
    <w:next w:val="27"/>
    <w:qFormat/>
    <w:uiPriority w:val="0"/>
    <w:pPr>
      <w:ind w:firstLine="0" w:firstLineChars="0"/>
      <w:jc w:val="center"/>
    </w:pPr>
    <w:rPr>
      <w:rFonts w:ascii="黑体" w:eastAsia="黑体"/>
    </w:rPr>
  </w:style>
  <w:style w:type="paragraph" w:customStyle="1" w:styleId="89">
    <w:name w:val="附录表标号"/>
    <w:basedOn w:val="1"/>
    <w:next w:val="27"/>
    <w:qFormat/>
    <w:uiPriority w:val="0"/>
    <w:pPr>
      <w:numPr>
        <w:ilvl w:val="0"/>
        <w:numId w:val="11"/>
      </w:numPr>
      <w:tabs>
        <w:tab w:val="left" w:pos="0"/>
      </w:tabs>
      <w:spacing w:line="14" w:lineRule="exact"/>
      <w:ind w:left="811" w:hanging="448"/>
      <w:jc w:val="center"/>
      <w:outlineLvl w:val="0"/>
    </w:pPr>
    <w:rPr>
      <w:color w:val="FFFFFF"/>
    </w:rPr>
  </w:style>
  <w:style w:type="paragraph" w:customStyle="1" w:styleId="90">
    <w:name w:val="附录表标题"/>
    <w:basedOn w:val="1"/>
    <w:next w:val="27"/>
    <w:qFormat/>
    <w:uiPriority w:val="0"/>
    <w:pPr>
      <w:numPr>
        <w:ilvl w:val="1"/>
        <w:numId w:val="11"/>
      </w:numPr>
      <w:tabs>
        <w:tab w:val="left" w:pos="0"/>
        <w:tab w:val="left" w:pos="180"/>
      </w:tabs>
      <w:spacing w:beforeLines="50" w:afterLines="50"/>
      <w:ind w:left="0" w:firstLine="0"/>
      <w:jc w:val="center"/>
    </w:pPr>
    <w:rPr>
      <w:rFonts w:ascii="黑体" w:eastAsia="黑体"/>
      <w:szCs w:val="21"/>
    </w:rPr>
  </w:style>
  <w:style w:type="paragraph" w:customStyle="1" w:styleId="91">
    <w:name w:val="附录二级条标题"/>
    <w:basedOn w:val="1"/>
    <w:next w:val="27"/>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2">
    <w:name w:val="附录二级无"/>
    <w:basedOn w:val="91"/>
    <w:qFormat/>
    <w:uiPriority w:val="0"/>
    <w:pPr>
      <w:tabs>
        <w:tab w:val="clear" w:pos="360"/>
      </w:tabs>
      <w:spacing w:beforeLines="0" w:afterLines="0"/>
    </w:pPr>
    <w:rPr>
      <w:rFonts w:ascii="宋体" w:eastAsia="宋体"/>
      <w:szCs w:val="21"/>
    </w:rPr>
  </w:style>
  <w:style w:type="paragraph" w:customStyle="1" w:styleId="93">
    <w:name w:val="附录公式"/>
    <w:basedOn w:val="27"/>
    <w:next w:val="27"/>
    <w:link w:val="145"/>
    <w:qFormat/>
    <w:uiPriority w:val="0"/>
  </w:style>
  <w:style w:type="paragraph" w:customStyle="1" w:styleId="94">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三级条标题"/>
    <w:basedOn w:val="91"/>
    <w:next w:val="27"/>
    <w:qFormat/>
    <w:uiPriority w:val="0"/>
    <w:pPr>
      <w:numPr>
        <w:ilvl w:val="4"/>
      </w:numPr>
      <w:outlineLvl w:val="4"/>
    </w:pPr>
  </w:style>
  <w:style w:type="paragraph" w:customStyle="1" w:styleId="96">
    <w:name w:val="附录三级无"/>
    <w:basedOn w:val="95"/>
    <w:qFormat/>
    <w:uiPriority w:val="0"/>
    <w:pPr>
      <w:tabs>
        <w:tab w:val="clear" w:pos="360"/>
      </w:tabs>
      <w:spacing w:beforeLines="0" w:afterLines="0"/>
    </w:pPr>
    <w:rPr>
      <w:rFonts w:ascii="宋体" w:eastAsia="宋体"/>
      <w:szCs w:val="21"/>
    </w:rPr>
  </w:style>
  <w:style w:type="paragraph" w:customStyle="1" w:styleId="97">
    <w:name w:val="附录数字编号列项（二级）"/>
    <w:qFormat/>
    <w:uiPriority w:val="0"/>
    <w:pPr>
      <w:numPr>
        <w:ilvl w:val="1"/>
        <w:numId w:val="12"/>
      </w:numPr>
      <w:tabs>
        <w:tab w:val="left" w:pos="839"/>
      </w:tabs>
    </w:pPr>
    <w:rPr>
      <w:rFonts w:ascii="宋体" w:hAnsi="Times New Roman" w:eastAsia="宋体" w:cs="Times New Roman"/>
      <w:sz w:val="21"/>
      <w:lang w:val="en-US" w:eastAsia="zh-CN" w:bidi="ar-SA"/>
    </w:rPr>
  </w:style>
  <w:style w:type="paragraph" w:customStyle="1" w:styleId="98">
    <w:name w:val="附录四级条标题"/>
    <w:basedOn w:val="95"/>
    <w:next w:val="27"/>
    <w:qFormat/>
    <w:uiPriority w:val="0"/>
    <w:pPr>
      <w:numPr>
        <w:ilvl w:val="5"/>
      </w:numPr>
      <w:outlineLvl w:val="5"/>
    </w:pPr>
  </w:style>
  <w:style w:type="paragraph" w:customStyle="1" w:styleId="99">
    <w:name w:val="附录四级无"/>
    <w:basedOn w:val="98"/>
    <w:qFormat/>
    <w:uiPriority w:val="0"/>
    <w:pPr>
      <w:tabs>
        <w:tab w:val="clear" w:pos="360"/>
      </w:tabs>
      <w:spacing w:beforeLines="0" w:afterLines="0"/>
    </w:pPr>
    <w:rPr>
      <w:rFonts w:ascii="宋体" w:eastAsia="宋体"/>
      <w:szCs w:val="21"/>
    </w:rPr>
  </w:style>
  <w:style w:type="paragraph" w:customStyle="1" w:styleId="100">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1">
    <w:name w:val="附录图标题"/>
    <w:basedOn w:val="1"/>
    <w:next w:val="27"/>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2">
    <w:name w:val="附录五级条标题"/>
    <w:basedOn w:val="98"/>
    <w:next w:val="27"/>
    <w:qFormat/>
    <w:uiPriority w:val="0"/>
    <w:pPr>
      <w:numPr>
        <w:ilvl w:val="6"/>
      </w:numPr>
      <w:outlineLvl w:val="6"/>
    </w:pPr>
  </w:style>
  <w:style w:type="paragraph" w:customStyle="1" w:styleId="103">
    <w:name w:val="附录五级无"/>
    <w:basedOn w:val="102"/>
    <w:qFormat/>
    <w:uiPriority w:val="0"/>
    <w:pPr>
      <w:tabs>
        <w:tab w:val="clear" w:pos="360"/>
      </w:tabs>
      <w:spacing w:beforeLines="0" w:afterLines="0"/>
    </w:pPr>
    <w:rPr>
      <w:rFonts w:ascii="宋体" w:eastAsia="宋体"/>
      <w:szCs w:val="21"/>
    </w:rPr>
  </w:style>
  <w:style w:type="paragraph" w:customStyle="1" w:styleId="104">
    <w:name w:val="附录章标题"/>
    <w:next w:val="27"/>
    <w:qFormat/>
    <w:uiPriority w:val="0"/>
    <w:pPr>
      <w:numPr>
        <w:ilvl w:val="1"/>
        <w:numId w:val="10"/>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一级条标题"/>
    <w:basedOn w:val="104"/>
    <w:next w:val="27"/>
    <w:qFormat/>
    <w:uiPriority w:val="0"/>
    <w:pPr>
      <w:numPr>
        <w:ilvl w:val="2"/>
      </w:numPr>
      <w:autoSpaceDN w:val="0"/>
      <w:spacing w:beforeLines="50" w:afterLines="50"/>
      <w:outlineLvl w:val="2"/>
    </w:pPr>
  </w:style>
  <w:style w:type="paragraph" w:customStyle="1" w:styleId="106">
    <w:name w:val="附录一级无"/>
    <w:basedOn w:val="105"/>
    <w:qFormat/>
    <w:uiPriority w:val="0"/>
    <w:pPr>
      <w:spacing w:beforeLines="0" w:afterLines="0"/>
    </w:pPr>
    <w:rPr>
      <w:rFonts w:ascii="宋体" w:eastAsia="宋体"/>
      <w:szCs w:val="21"/>
    </w:rPr>
  </w:style>
  <w:style w:type="paragraph" w:customStyle="1" w:styleId="107">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1">
    <w:name w:val="其他标准标志"/>
    <w:basedOn w:val="70"/>
    <w:qFormat/>
    <w:uiPriority w:val="0"/>
    <w:pPr>
      <w:framePr w:w="6101"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其他发布部门"/>
    <w:basedOn w:val="77"/>
    <w:qFormat/>
    <w:uiPriority w:val="0"/>
    <w:pPr>
      <w:framePr w:y="15310"/>
      <w:spacing w:line="0" w:lineRule="atLeast"/>
    </w:pPr>
    <w:rPr>
      <w:rFonts w:ascii="黑体" w:eastAsia="黑体"/>
      <w:b w:val="0"/>
    </w:rPr>
  </w:style>
  <w:style w:type="paragraph" w:customStyle="1" w:styleId="114">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5">
    <w:name w:val="三级无"/>
    <w:basedOn w:val="55"/>
    <w:qFormat/>
    <w:uiPriority w:val="0"/>
    <w:pPr>
      <w:spacing w:beforeLines="0" w:afterLines="0"/>
    </w:pPr>
    <w:rPr>
      <w:rFonts w:ascii="宋体" w:eastAsia="宋体"/>
    </w:rPr>
  </w:style>
  <w:style w:type="paragraph" w:customStyle="1" w:styleId="116">
    <w:name w:val="实施日期"/>
    <w:basedOn w:val="78"/>
    <w:qFormat/>
    <w:uiPriority w:val="0"/>
    <w:pPr>
      <w:framePr w:wrap="around" w:vAnchor="page" w:hAnchor="text" w:y="1"/>
      <w:jc w:val="right"/>
    </w:pPr>
  </w:style>
  <w:style w:type="paragraph" w:customStyle="1" w:styleId="117">
    <w:name w:val="示例后文字"/>
    <w:basedOn w:val="27"/>
    <w:next w:val="27"/>
    <w:qFormat/>
    <w:uiPriority w:val="0"/>
    <w:pPr>
      <w:ind w:firstLine="360"/>
    </w:pPr>
    <w:rPr>
      <w:sz w:val="18"/>
    </w:rPr>
  </w:style>
  <w:style w:type="paragraph" w:customStyle="1" w:styleId="118">
    <w:name w:val="首示例"/>
    <w:next w:val="27"/>
    <w:link w:val="14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paragraph" w:customStyle="1" w:styleId="119">
    <w:name w:val="四级无"/>
    <w:basedOn w:val="59"/>
    <w:qFormat/>
    <w:uiPriority w:val="0"/>
    <w:pPr>
      <w:spacing w:beforeLines="0" w:afterLines="0"/>
    </w:pPr>
    <w:rPr>
      <w:rFonts w:ascii="宋体" w:eastAsia="宋体"/>
    </w:rPr>
  </w:style>
  <w:style w:type="paragraph" w:customStyle="1" w:styleId="120">
    <w:name w:val="条文脚注"/>
    <w:basedOn w:val="28"/>
    <w:qFormat/>
    <w:uiPriority w:val="0"/>
    <w:pPr>
      <w:numPr>
        <w:numId w:val="0"/>
      </w:numPr>
      <w:jc w:val="both"/>
    </w:pPr>
  </w:style>
  <w:style w:type="paragraph" w:customStyle="1" w:styleId="121">
    <w:name w:val="图标脚注说明"/>
    <w:basedOn w:val="27"/>
    <w:qFormat/>
    <w:uiPriority w:val="0"/>
    <w:pPr>
      <w:ind w:left="840" w:hanging="420" w:firstLineChars="0"/>
    </w:pPr>
    <w:rPr>
      <w:sz w:val="18"/>
      <w:szCs w:val="18"/>
    </w:rPr>
  </w:style>
  <w:style w:type="paragraph" w:customStyle="1" w:styleId="122">
    <w:name w:val="图表脚注说明"/>
    <w:basedOn w:val="1"/>
    <w:qFormat/>
    <w:uiPriority w:val="0"/>
    <w:pPr>
      <w:numPr>
        <w:ilvl w:val="0"/>
        <w:numId w:val="15"/>
      </w:numPr>
    </w:pPr>
    <w:rPr>
      <w:rFonts w:ascii="宋体"/>
      <w:sz w:val="18"/>
      <w:szCs w:val="18"/>
    </w:rPr>
  </w:style>
  <w:style w:type="paragraph" w:customStyle="1" w:styleId="123">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60"/>
    <w:qFormat/>
    <w:uiPriority w:val="0"/>
    <w:pPr>
      <w:spacing w:beforeLines="0" w:afterLines="0"/>
    </w:pPr>
    <w:rPr>
      <w:rFonts w:ascii="宋体" w:eastAsia="宋体"/>
    </w:rPr>
  </w:style>
  <w:style w:type="paragraph" w:customStyle="1" w:styleId="126">
    <w:name w:val="一级无"/>
    <w:basedOn w:val="46"/>
    <w:qFormat/>
    <w:uiPriority w:val="0"/>
    <w:pPr>
      <w:spacing w:beforeLines="0" w:afterLines="0"/>
      <w:ind w:left="0"/>
    </w:pPr>
    <w:rPr>
      <w:rFonts w:ascii="宋体" w:hAnsi="宋体" w:eastAsia="宋体"/>
    </w:rPr>
  </w:style>
  <w:style w:type="paragraph" w:customStyle="1" w:styleId="127">
    <w:name w:val="正文表标题"/>
    <w:next w:val="27"/>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8">
    <w:name w:val="正文公式编号制表符"/>
    <w:basedOn w:val="27"/>
    <w:next w:val="27"/>
    <w:qFormat/>
    <w:uiPriority w:val="0"/>
    <w:pPr>
      <w:ind w:firstLine="0" w:firstLineChars="0"/>
    </w:pPr>
  </w:style>
  <w:style w:type="paragraph" w:customStyle="1" w:styleId="129">
    <w:name w:val="正文图标题"/>
    <w:next w:val="27"/>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basedOn w:val="78"/>
    <w:qFormat/>
    <w:uiPriority w:val="0"/>
    <w:pPr>
      <w:framePr w:wrap="around" w:vAnchor="page" w:hAnchor="text" w:x="1419" w:y="1"/>
    </w:pPr>
  </w:style>
  <w:style w:type="paragraph" w:customStyle="1" w:styleId="132">
    <w:name w:val="其他实施日期"/>
    <w:basedOn w:val="116"/>
    <w:qFormat/>
    <w:uiPriority w:val="0"/>
  </w:style>
  <w:style w:type="paragraph" w:customStyle="1" w:styleId="133">
    <w:name w:val="封面标准名称2"/>
    <w:basedOn w:val="81"/>
    <w:qFormat/>
    <w:uiPriority w:val="0"/>
    <w:pPr>
      <w:framePr w:wrap="around" w:vAnchor="margin" w:hAnchor="text" w:y="4469"/>
      <w:spacing w:beforeLines="630"/>
    </w:pPr>
  </w:style>
  <w:style w:type="paragraph" w:customStyle="1" w:styleId="134">
    <w:name w:val="封面标准英文名称2"/>
    <w:basedOn w:val="82"/>
    <w:qFormat/>
    <w:uiPriority w:val="0"/>
    <w:pPr>
      <w:framePr w:y="4469"/>
    </w:pPr>
  </w:style>
  <w:style w:type="paragraph" w:customStyle="1" w:styleId="135">
    <w:name w:val="封面一致性程度标识2"/>
    <w:basedOn w:val="83"/>
    <w:qFormat/>
    <w:uiPriority w:val="0"/>
    <w:pPr>
      <w:framePr w:y="4469"/>
    </w:pPr>
  </w:style>
  <w:style w:type="paragraph" w:customStyle="1" w:styleId="136">
    <w:name w:val="封面标准文稿类别2"/>
    <w:basedOn w:val="84"/>
    <w:qFormat/>
    <w:uiPriority w:val="0"/>
    <w:pPr>
      <w:framePr w:y="4469"/>
    </w:pPr>
  </w:style>
  <w:style w:type="paragraph" w:customStyle="1" w:styleId="137">
    <w:name w:val="封面标准文稿编辑信息2"/>
    <w:basedOn w:val="85"/>
    <w:qFormat/>
    <w:uiPriority w:val="0"/>
    <w:pPr>
      <w:framePr w:y="4469"/>
    </w:pPr>
  </w:style>
  <w:style w:type="paragraph" w:customStyle="1" w:styleId="138">
    <w:name w:val="列出段落1"/>
    <w:basedOn w:val="1"/>
    <w:qFormat/>
    <w:uiPriority w:val="34"/>
    <w:pPr>
      <w:ind w:firstLine="420" w:firstLineChars="200"/>
    </w:pPr>
    <w:rPr>
      <w:rFonts w:ascii="Calibri" w:hAnsi="Calibri" w:cs="黑体"/>
      <w:szCs w:val="22"/>
    </w:rPr>
  </w:style>
  <w:style w:type="paragraph" w:customStyle="1" w:styleId="139">
    <w:name w:val="TOC 标题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140">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43">
    <w:name w:val="段 Char"/>
    <w:basedOn w:val="36"/>
    <w:link w:val="27"/>
    <w:qFormat/>
    <w:uiPriority w:val="0"/>
    <w:rPr>
      <w:rFonts w:ascii="宋体"/>
      <w:sz w:val="21"/>
      <w:lang w:val="en-US" w:eastAsia="zh-CN" w:bidi="ar-SA"/>
    </w:rPr>
  </w:style>
  <w:style w:type="character" w:customStyle="1" w:styleId="144">
    <w:name w:val="发布"/>
    <w:basedOn w:val="36"/>
    <w:qFormat/>
    <w:uiPriority w:val="0"/>
    <w:rPr>
      <w:rFonts w:ascii="黑体" w:eastAsia="黑体"/>
      <w:spacing w:val="85"/>
      <w:w w:val="100"/>
      <w:position w:val="3"/>
      <w:sz w:val="28"/>
      <w:szCs w:val="28"/>
    </w:rPr>
  </w:style>
  <w:style w:type="character" w:customStyle="1" w:styleId="145">
    <w:name w:val="附录公式 Char"/>
    <w:basedOn w:val="143"/>
    <w:link w:val="93"/>
    <w:qFormat/>
    <w:uiPriority w:val="0"/>
    <w:rPr>
      <w:rFonts w:ascii="宋体"/>
      <w:sz w:val="21"/>
      <w:lang w:val="en-US" w:eastAsia="zh-CN" w:bidi="ar-SA"/>
    </w:rPr>
  </w:style>
  <w:style w:type="character" w:customStyle="1" w:styleId="146">
    <w:name w:val="首示例 Char"/>
    <w:basedOn w:val="36"/>
    <w:link w:val="118"/>
    <w:qFormat/>
    <w:uiPriority w:val="0"/>
    <w:rPr>
      <w:rFonts w:ascii="宋体" w:hAnsi="宋体"/>
      <w:kern w:val="2"/>
      <w:sz w:val="18"/>
      <w:szCs w:val="18"/>
    </w:rPr>
  </w:style>
  <w:style w:type="character" w:customStyle="1" w:styleId="147">
    <w:name w:val="纯文本 Char"/>
    <w:basedOn w:val="36"/>
    <w:link w:val="16"/>
    <w:qFormat/>
    <w:uiPriority w:val="99"/>
    <w:rPr>
      <w:rFonts w:ascii="宋体" w:hAnsi="Courier New"/>
      <w:kern w:val="2"/>
      <w:sz w:val="21"/>
    </w:rPr>
  </w:style>
  <w:style w:type="character" w:customStyle="1" w:styleId="148">
    <w:name w:val="批注框文本 Char"/>
    <w:basedOn w:val="36"/>
    <w:link w:val="20"/>
    <w:qFormat/>
    <w:uiPriority w:val="0"/>
    <w:rPr>
      <w:kern w:val="2"/>
      <w:sz w:val="18"/>
      <w:szCs w:val="18"/>
    </w:rPr>
  </w:style>
  <w:style w:type="character" w:customStyle="1" w:styleId="149">
    <w:name w:val="页眉 Char"/>
    <w:basedOn w:val="36"/>
    <w:link w:val="22"/>
    <w:qFormat/>
    <w:uiPriority w:val="99"/>
    <w:rPr>
      <w:kern w:val="2"/>
      <w:sz w:val="18"/>
      <w:szCs w:val="18"/>
    </w:rPr>
  </w:style>
  <w:style w:type="character" w:customStyle="1" w:styleId="150">
    <w:name w:val="标题 1 Char"/>
    <w:basedOn w:val="36"/>
    <w:link w:val="2"/>
    <w:qFormat/>
    <w:uiPriority w:val="0"/>
    <w:rPr>
      <w:b/>
      <w:bCs/>
      <w:kern w:val="44"/>
      <w:sz w:val="44"/>
      <w:szCs w:val="44"/>
    </w:rPr>
  </w:style>
  <w:style w:type="character" w:customStyle="1" w:styleId="151">
    <w:name w:val="标题 2 Char"/>
    <w:basedOn w:val="36"/>
    <w:link w:val="3"/>
    <w:semiHidden/>
    <w:qFormat/>
    <w:uiPriority w:val="0"/>
    <w:rPr>
      <w:rFonts w:ascii="Cambria" w:hAnsi="Cambria" w:eastAsia="宋体" w:cs="黑体"/>
      <w:b/>
      <w:bCs/>
      <w:kern w:val="2"/>
      <w:sz w:val="32"/>
      <w:szCs w:val="32"/>
    </w:rPr>
  </w:style>
  <w:style w:type="character" w:customStyle="1" w:styleId="152">
    <w:name w:val="标题 3 Char"/>
    <w:basedOn w:val="36"/>
    <w:link w:val="4"/>
    <w:semiHidden/>
    <w:qFormat/>
    <w:uiPriority w:val="0"/>
    <w:rPr>
      <w:b/>
      <w:bCs/>
      <w:kern w:val="2"/>
      <w:sz w:val="32"/>
      <w:szCs w:val="32"/>
    </w:rPr>
  </w:style>
  <w:style w:type="character" w:customStyle="1" w:styleId="153">
    <w:name w:val="批注文字 Char"/>
    <w:basedOn w:val="36"/>
    <w:link w:val="6"/>
    <w:qFormat/>
    <w:uiPriority w:val="0"/>
    <w:rPr>
      <w:kern w:val="2"/>
      <w:sz w:val="21"/>
      <w:szCs w:val="24"/>
    </w:rPr>
  </w:style>
  <w:style w:type="character" w:customStyle="1" w:styleId="154">
    <w:name w:val="批注主题 Char"/>
    <w:basedOn w:val="153"/>
    <w:link w:val="5"/>
    <w:qFormat/>
    <w:uiPriority w:val="0"/>
    <w:rPr>
      <w:b/>
      <w:bCs/>
      <w:kern w:val="2"/>
      <w:sz w:val="21"/>
      <w:szCs w:val="24"/>
    </w:rPr>
  </w:style>
  <w:style w:type="paragraph" w:customStyle="1" w:styleId="155">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7"/>
    <customShpInfo spid="_x0000_s1028"/>
    <customShpInfo spid="_x0000_s1029"/>
    <customShpInfo spid="_x0000_s1030"/>
    <customShpInfo spid="_x0000_s1031"/>
    <customShpInfo spid="_x0000_s1026"/>
    <customShpInfo spid="_x0000_s1039"/>
    <customShpInfo spid="_x0000_s1041"/>
    <customShpInfo spid="_x0000_s1040"/>
    <customShpInfo spid="_x0000_s1034"/>
    <customShpInfo spid="_x0000_s1033"/>
    <customShpInfo spid="_x0000_s1032"/>
    <customShpInfo spid="_x0000_s1036"/>
    <customShpInfo spid="_x0000_s1038"/>
    <customShpInfo spid="_x0000_s1037"/>
    <customShpInfo spid="_x0000_s1042"/>
    <customShpInfo spid="_x0000_s1043"/>
    <customShpInfo spid="_x0000_s1035"/>
    <customShpInfo spid="_x0000_s1044"/>
    <customShpInfo spid="_x0000_s1045"/>
    <customShpInfo spid="_x0000_s1048"/>
    <customShpInfo spid="_x0000_s1046"/>
    <customShpInfo spid="_x0000_s1047"/>
    <customShpInfo spid="_x0000_s1050"/>
    <customShpInfo spid="_x0000_s1051"/>
    <customShpInfo spid="_x0000_s1052"/>
    <customShpInfo spid="_x0000_s1053"/>
    <customShpInfo spid="_x0000_s1054"/>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Pages>
  <Words>1103</Words>
  <Characters>6288</Characters>
  <Lines>52</Lines>
  <Paragraphs>14</Paragraphs>
  <ScaleCrop>false</ScaleCrop>
  <LinksUpToDate>false</LinksUpToDate>
  <CharactersWithSpaces>7377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2016-09-12T03:13:00Z</dcterms:created>
  <dc:creator>尹利超</dc:creator>
  <cp:lastModifiedBy>孟祥峰(拟稿)</cp:lastModifiedBy>
  <cp:lastPrinted>2016-09-28T06:30:00Z</cp:lastPrinted>
  <dcterms:modified xsi:type="dcterms:W3CDTF">2016-11-15T01:18:23Z</dcterms:modified>
  <dc:title>标准名称</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