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napToGrid w:val="0"/>
        <w:jc w:val="left"/>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kern w:val="0"/>
          <w:sz w:val="32"/>
          <w:szCs w:val="32"/>
        </w:rPr>
        <w:t>附件</w:t>
      </w:r>
      <w:r>
        <w:rPr>
          <w:rFonts w:hint="eastAsia" w:ascii="仿宋_GB2312" w:hAnsi="仿宋_GB2312" w:eastAsia="仿宋_GB2312" w:cs="仿宋_GB2312"/>
          <w:b w:val="0"/>
          <w:bCs/>
          <w:kern w:val="0"/>
          <w:sz w:val="32"/>
          <w:szCs w:val="32"/>
          <w:lang w:val="en-US" w:eastAsia="zh-CN"/>
        </w:rPr>
        <w:t>1</w:t>
      </w:r>
    </w:p>
    <w:p>
      <w:pPr>
        <w:widowControl/>
        <w:spacing w:before="156" w:beforeLines="50" w:after="120"/>
        <w:jc w:val="center"/>
        <w:rPr>
          <w:rFonts w:hint="eastAsia" w:ascii="宋体" w:hAnsi="宋体" w:eastAsia="宋体" w:cs="宋体"/>
          <w:b/>
          <w:kern w:val="0"/>
          <w:sz w:val="44"/>
          <w:szCs w:val="44"/>
        </w:rPr>
      </w:pPr>
      <w:r>
        <w:rPr>
          <w:rFonts w:hint="eastAsia" w:ascii="宋体" w:hAnsi="宋体" w:eastAsia="宋体" w:cs="宋体"/>
          <w:b/>
          <w:kern w:val="0"/>
          <w:sz w:val="44"/>
          <w:szCs w:val="44"/>
        </w:rPr>
        <w:t>新能源汽车生产企业准入审查要求</w:t>
      </w:r>
    </w:p>
    <w:tbl>
      <w:tblPr>
        <w:tblStyle w:val="12"/>
        <w:tblW w:w="959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0"/>
        <w:gridCol w:w="8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0" w:type="dxa"/>
            <w:vAlign w:val="center"/>
          </w:tcPr>
          <w:p>
            <w:pPr>
              <w:keepNext w:val="0"/>
              <w:keepLines w:val="0"/>
              <w:suppressLineNumbers w:val="0"/>
              <w:adjustRightInd w:val="0"/>
              <w:snapToGrid w:val="0"/>
              <w:spacing w:before="31" w:beforeLines="10" w:beforeAutospacing="0" w:after="31" w:afterLines="10" w:afterAutospacing="0"/>
              <w:ind w:left="0" w:right="0"/>
              <w:jc w:val="center"/>
              <w:rPr>
                <w:rFonts w:hint="default" w:ascii="仿宋_GB2312" w:hAnsi="Times New Roman" w:eastAsia="仿宋_GB2312"/>
                <w:sz w:val="24"/>
              </w:rPr>
            </w:pPr>
            <w:r>
              <w:rPr>
                <w:rFonts w:hint="eastAsia" w:ascii="仿宋_GB2312" w:hAnsi="Times New Roman" w:eastAsia="仿宋_GB2312"/>
                <w:sz w:val="24"/>
              </w:rPr>
              <w:t>序号</w:t>
            </w:r>
          </w:p>
        </w:tc>
        <w:tc>
          <w:tcPr>
            <w:tcW w:w="8893" w:type="dxa"/>
            <w:vAlign w:val="center"/>
          </w:tcPr>
          <w:p>
            <w:pPr>
              <w:keepNext w:val="0"/>
              <w:keepLines w:val="0"/>
              <w:widowControl/>
              <w:suppressLineNumbers w:val="0"/>
              <w:spacing w:before="0" w:beforeAutospacing="0" w:after="0" w:afterAutospacing="0"/>
              <w:ind w:left="0" w:right="0"/>
              <w:jc w:val="center"/>
              <w:rPr>
                <w:rFonts w:hint="default" w:ascii="仿宋_GB2312" w:hAnsi="Times New Roman" w:eastAsia="仿宋_GB2312"/>
                <w:sz w:val="24"/>
              </w:rPr>
            </w:pPr>
            <w:r>
              <w:rPr>
                <w:rFonts w:hint="eastAsia" w:ascii="仿宋_GB2312" w:hAnsi="Times New Roman" w:eastAsia="仿宋_GB2312"/>
                <w:sz w:val="24"/>
              </w:rPr>
              <w:t>准入审查要求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0" w:type="dxa"/>
            <w:vAlign w:val="center"/>
          </w:tcPr>
          <w:p>
            <w:pPr>
              <w:keepNext w:val="0"/>
              <w:keepLines w:val="0"/>
              <w:widowControl/>
              <w:suppressLineNumbers w:val="0"/>
              <w:spacing w:before="0" w:beforeAutospacing="0" w:after="0" w:afterAutospacing="0"/>
              <w:ind w:left="0" w:right="0"/>
              <w:jc w:val="center"/>
              <w:rPr>
                <w:rFonts w:hint="default" w:ascii="仿宋_GB2312" w:hAnsi="Times New Roman" w:eastAsia="仿宋_GB2312"/>
                <w:bCs/>
                <w:kern w:val="0"/>
                <w:sz w:val="24"/>
              </w:rPr>
            </w:pPr>
            <w:r>
              <w:rPr>
                <w:rFonts w:hint="eastAsia" w:ascii="仿宋_GB2312" w:hAnsi="Times New Roman" w:eastAsia="仿宋_GB2312"/>
                <w:bCs/>
                <w:kern w:val="0"/>
                <w:sz w:val="24"/>
              </w:rPr>
              <w:t>一</w:t>
            </w:r>
          </w:p>
        </w:tc>
        <w:tc>
          <w:tcPr>
            <w:tcW w:w="8893" w:type="dxa"/>
            <w:vAlign w:val="center"/>
          </w:tcPr>
          <w:p>
            <w:pPr>
              <w:keepNext w:val="0"/>
              <w:keepLines w:val="0"/>
              <w:suppressLineNumbers w:val="0"/>
              <w:adjustRightInd w:val="0"/>
              <w:snapToGrid w:val="0"/>
              <w:spacing w:before="31" w:beforeLines="10" w:beforeAutospacing="0" w:after="31" w:afterLines="10" w:afterAutospacing="0"/>
              <w:ind w:left="0" w:right="0"/>
              <w:rPr>
                <w:rFonts w:hint="default" w:ascii="仿宋_GB2312" w:hAnsi="Times New Roman" w:eastAsia="仿宋_GB2312"/>
                <w:bCs/>
                <w:kern w:val="0"/>
                <w:sz w:val="24"/>
              </w:rPr>
            </w:pPr>
            <w:r>
              <w:rPr>
                <w:rFonts w:hint="eastAsia" w:ascii="仿宋_GB2312" w:hAnsi="Times New Roman" w:eastAsia="仿宋_GB2312"/>
                <w:sz w:val="24"/>
              </w:rPr>
              <w:t>生产能力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31" w:beforeLines="10" w:beforeAutospacing="0" w:after="31" w:afterLines="10" w:afterAutospacing="0"/>
              <w:ind w:left="0" w:right="0"/>
              <w:jc w:val="center"/>
              <w:rPr>
                <w:rFonts w:hint="default" w:ascii="仿宋_GB2312" w:hAnsi="Times New Roman" w:eastAsia="仿宋_GB2312"/>
                <w:sz w:val="24"/>
              </w:rPr>
            </w:pPr>
            <w:r>
              <w:rPr>
                <w:rFonts w:hint="eastAsia" w:ascii="仿宋_GB2312" w:hAnsi="Times New Roman" w:eastAsia="仿宋_GB2312"/>
                <w:sz w:val="24"/>
              </w:rPr>
              <w:t>1*</w:t>
            </w:r>
          </w:p>
        </w:tc>
        <w:tc>
          <w:tcPr>
            <w:tcW w:w="88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31" w:beforeLines="10" w:beforeAutospacing="0" w:after="31" w:afterLines="10" w:afterAutospacing="0"/>
              <w:ind w:left="0" w:right="0" w:firstLine="480" w:firstLineChars="200"/>
              <w:rPr>
                <w:rFonts w:hint="eastAsia" w:ascii="仿宋_GB2312" w:hAnsi="Times New Roman" w:eastAsia="仿宋_GB2312"/>
                <w:sz w:val="24"/>
              </w:rPr>
            </w:pPr>
            <w:r>
              <w:rPr>
                <w:rFonts w:hint="eastAsia" w:ascii="仿宋_GB2312" w:hAnsi="Times New Roman" w:eastAsia="仿宋_GB2312"/>
                <w:sz w:val="24"/>
              </w:rPr>
              <w:t>新能源汽车生产企业应具备保证产品质量和安全所必需的生产设备设施。</w:t>
            </w:r>
          </w:p>
          <w:p>
            <w:pPr>
              <w:keepNext w:val="0"/>
              <w:keepLines w:val="0"/>
              <w:suppressLineNumbers w:val="0"/>
              <w:adjustRightInd w:val="0"/>
              <w:snapToGrid w:val="0"/>
              <w:spacing w:before="31" w:beforeLines="10" w:beforeAutospacing="0" w:after="31" w:afterLines="10" w:afterAutospacing="0"/>
              <w:ind w:left="0" w:right="0" w:firstLine="480" w:firstLineChars="200"/>
              <w:rPr>
                <w:rFonts w:hint="eastAsia" w:ascii="仿宋_GB2312" w:hAnsi="Times New Roman" w:eastAsia="仿宋_GB2312"/>
                <w:sz w:val="24"/>
              </w:rPr>
            </w:pPr>
            <w:r>
              <w:rPr>
                <w:rFonts w:hint="eastAsia" w:ascii="仿宋_GB2312" w:hAnsi="Times New Roman" w:eastAsia="仿宋_GB2312"/>
                <w:sz w:val="24"/>
              </w:rPr>
              <w:t>应具备专用充电设备，数量应能保证产品充电需要。申请燃料电池汽车的，应能保证产品加氢需要。</w:t>
            </w:r>
          </w:p>
          <w:p>
            <w:pPr>
              <w:keepNext w:val="0"/>
              <w:keepLines w:val="0"/>
              <w:suppressLineNumbers w:val="0"/>
              <w:adjustRightInd w:val="0"/>
              <w:snapToGrid w:val="0"/>
              <w:spacing w:before="31" w:beforeLines="10" w:beforeAutospacing="0" w:after="31" w:afterLines="10" w:afterAutospacing="0"/>
              <w:ind w:left="0" w:right="0" w:firstLine="480" w:firstLineChars="200"/>
              <w:rPr>
                <w:rFonts w:hint="eastAsia" w:ascii="仿宋_GB2312" w:hAnsi="Times New Roman" w:eastAsia="仿宋_GB2312"/>
                <w:sz w:val="24"/>
              </w:rPr>
            </w:pPr>
            <w:r>
              <w:rPr>
                <w:rFonts w:hint="eastAsia" w:ascii="仿宋_GB2312" w:hAnsi="Times New Roman" w:eastAsia="仿宋_GB2312"/>
                <w:sz w:val="24"/>
              </w:rPr>
              <w:t>应建立充分的安全生产管理措施、人员防护措施、应急处理措施。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31" w:beforeLines="10" w:beforeAutospacing="0" w:after="31" w:afterLines="10" w:afterAutospacing="0"/>
              <w:ind w:left="0" w:right="0"/>
              <w:jc w:val="center"/>
              <w:rPr>
                <w:rFonts w:hint="default" w:ascii="仿宋_GB2312" w:hAnsi="Times New Roman" w:eastAsia="仿宋_GB2312"/>
                <w:sz w:val="24"/>
              </w:rPr>
            </w:pPr>
            <w:r>
              <w:rPr>
                <w:rFonts w:hint="eastAsia" w:ascii="仿宋_GB2312" w:hAnsi="Times New Roman" w:eastAsia="仿宋_GB2312"/>
                <w:sz w:val="24"/>
              </w:rPr>
              <w:t>2*</w:t>
            </w:r>
          </w:p>
        </w:tc>
        <w:tc>
          <w:tcPr>
            <w:tcW w:w="88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31" w:beforeLines="10" w:beforeAutospacing="0" w:after="31" w:afterLines="10" w:afterAutospacing="0"/>
              <w:ind w:left="0" w:right="0" w:firstLine="480" w:firstLineChars="200"/>
              <w:rPr>
                <w:rFonts w:hint="eastAsia" w:ascii="仿宋_GB2312" w:hAnsi="Times New Roman" w:eastAsia="仿宋_GB2312"/>
                <w:sz w:val="24"/>
              </w:rPr>
            </w:pPr>
            <w:bookmarkStart w:id="0" w:name="_Hlk35540146"/>
            <w:r>
              <w:rPr>
                <w:rFonts w:hint="eastAsia" w:ascii="仿宋_GB2312" w:hAnsi="Times New Roman" w:eastAsia="仿宋_GB2312"/>
                <w:sz w:val="24"/>
              </w:rPr>
              <w:t>应按照投资项目审批文件要求完成项目建设。其中，投资项目审批文件中要求建设发动机生产条件的整车生产企业，申请插电式混合动力汽车产品时，应具备发动机的生产能力，至少应有缸体、缸盖的精加工生产线，机械化的发动机总成装配线及发动机试验台架。曲轴、凸轮轴、连杆可委托加工。</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31" w:beforeLines="10" w:beforeAutospacing="0" w:after="31" w:afterLines="10" w:afterAutospacing="0"/>
              <w:ind w:left="0" w:right="0"/>
              <w:jc w:val="center"/>
              <w:rPr>
                <w:rFonts w:hint="default" w:ascii="仿宋_GB2312" w:hAnsi="Times New Roman" w:eastAsia="仿宋_GB2312"/>
                <w:sz w:val="24"/>
              </w:rPr>
            </w:pPr>
            <w:r>
              <w:rPr>
                <w:rFonts w:hint="eastAsia" w:ascii="仿宋_GB2312" w:hAnsi="Times New Roman" w:eastAsia="仿宋_GB2312"/>
                <w:sz w:val="24"/>
              </w:rPr>
              <w:t>二</w:t>
            </w:r>
          </w:p>
        </w:tc>
        <w:tc>
          <w:tcPr>
            <w:tcW w:w="88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31" w:beforeLines="10" w:beforeAutospacing="0" w:after="31" w:afterLines="10" w:afterAutospacing="0"/>
              <w:ind w:left="0" w:right="0"/>
              <w:rPr>
                <w:rFonts w:hint="default" w:ascii="仿宋_GB2312" w:hAnsi="Times New Roman" w:eastAsia="仿宋_GB2312"/>
                <w:sz w:val="24"/>
              </w:rPr>
            </w:pPr>
            <w:r>
              <w:rPr>
                <w:rFonts w:hint="eastAsia" w:ascii="仿宋_GB2312" w:hAnsi="Times New Roman" w:eastAsia="仿宋_GB2312"/>
                <w:sz w:val="24"/>
              </w:rPr>
              <w:t>产品生产一致性保证能力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31" w:beforeLines="10" w:beforeAutospacing="0" w:after="31" w:afterLines="10" w:afterAutospacing="0"/>
              <w:ind w:left="0" w:right="0"/>
              <w:jc w:val="center"/>
              <w:rPr>
                <w:rFonts w:hint="default" w:ascii="仿宋_GB2312" w:hAnsi="Times New Roman" w:eastAsia="仿宋_GB2312"/>
                <w:sz w:val="24"/>
              </w:rPr>
            </w:pPr>
            <w:r>
              <w:rPr>
                <w:rFonts w:hint="eastAsia" w:ascii="仿宋_GB2312" w:hAnsi="Times New Roman" w:eastAsia="仿宋_GB2312"/>
                <w:sz w:val="24"/>
              </w:rPr>
              <w:t>3</w:t>
            </w:r>
          </w:p>
        </w:tc>
        <w:tc>
          <w:tcPr>
            <w:tcW w:w="88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31" w:beforeLines="10" w:beforeAutospacing="0" w:after="31" w:afterLines="10" w:afterAutospacing="0"/>
              <w:ind w:left="0" w:right="0" w:firstLine="480" w:firstLineChars="200"/>
              <w:rPr>
                <w:rFonts w:hint="default" w:ascii="仿宋_GB2312" w:hAnsi="Times New Roman" w:eastAsia="仿宋_GB2312"/>
                <w:sz w:val="24"/>
              </w:rPr>
            </w:pPr>
            <w:r>
              <w:rPr>
                <w:rFonts w:hint="eastAsia" w:ascii="仿宋_GB2312" w:hAnsi="Times New Roman" w:eastAsia="仿宋_GB2312"/>
                <w:sz w:val="24"/>
              </w:rPr>
              <w:t>新能源汽车生产企业应实施计算机信息化管理，至少应建立产品可追溯性信息管理系统，应对发动机、车载能源系统/燃料电池系统、储氢系统、驱动电机、整车控制器等关键零部件总成，以及整车配置、出厂检测数据等进行可追溯性信息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31" w:beforeLines="10" w:beforeAutospacing="0" w:after="31" w:afterLines="10" w:afterAutospacing="0"/>
              <w:ind w:left="0" w:right="0"/>
              <w:jc w:val="center"/>
              <w:rPr>
                <w:rFonts w:hint="default" w:ascii="仿宋_GB2312" w:hAnsi="Times New Roman" w:eastAsia="仿宋_GB2312"/>
                <w:sz w:val="24"/>
              </w:rPr>
            </w:pPr>
            <w:r>
              <w:rPr>
                <w:rFonts w:hint="eastAsia" w:ascii="仿宋_GB2312" w:hAnsi="Times New Roman" w:eastAsia="仿宋_GB2312"/>
                <w:sz w:val="24"/>
              </w:rPr>
              <w:t>4</w:t>
            </w:r>
          </w:p>
        </w:tc>
        <w:tc>
          <w:tcPr>
            <w:tcW w:w="88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31" w:beforeLines="10" w:beforeAutospacing="0" w:after="31" w:afterLines="10" w:afterAutospacing="0"/>
              <w:ind w:left="0" w:right="0" w:firstLine="480" w:firstLineChars="200"/>
              <w:rPr>
                <w:rFonts w:hint="default" w:ascii="仿宋_GB2312" w:hAnsi="Times New Roman" w:eastAsia="仿宋_GB2312"/>
                <w:sz w:val="24"/>
              </w:rPr>
            </w:pPr>
            <w:r>
              <w:rPr>
                <w:rFonts w:hint="eastAsia" w:ascii="仿宋_GB2312" w:hAnsi="Times New Roman" w:eastAsia="仿宋_GB2312"/>
                <w:sz w:val="24"/>
              </w:rPr>
              <w:t>针对所有原材料、常规部件、车载能源系统及其他电器系统部件、软件及服务等供方，应建立供应链管理体系，确定供方及其产品评价标准、采购技术协议、产品验证规范，对供方及其产品进行评价和选择，并进行日常监督管理，以保证产品的质量和安全性。应保留对供方及其产品的评价、选择、管理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31" w:beforeLines="10" w:beforeAutospacing="0" w:after="31" w:afterLines="10" w:afterAutospacing="0"/>
              <w:ind w:left="0" w:right="0"/>
              <w:jc w:val="center"/>
              <w:rPr>
                <w:rFonts w:hint="default" w:ascii="仿宋_GB2312" w:hAnsi="Times New Roman" w:eastAsia="仿宋_GB2312"/>
                <w:sz w:val="24"/>
              </w:rPr>
            </w:pPr>
            <w:r>
              <w:rPr>
                <w:rFonts w:hint="eastAsia" w:ascii="仿宋_GB2312" w:hAnsi="Times New Roman" w:eastAsia="仿宋_GB2312"/>
                <w:sz w:val="24"/>
              </w:rPr>
              <w:t>5*</w:t>
            </w:r>
          </w:p>
        </w:tc>
        <w:tc>
          <w:tcPr>
            <w:tcW w:w="88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31" w:beforeLines="10" w:beforeAutospacing="0" w:after="31" w:afterLines="10" w:afterAutospacing="0"/>
              <w:ind w:left="0" w:right="0" w:firstLine="480" w:firstLineChars="200"/>
              <w:rPr>
                <w:rFonts w:hint="eastAsia" w:ascii="仿宋_GB2312" w:hAnsi="Times New Roman" w:eastAsia="仿宋_GB2312"/>
                <w:sz w:val="24"/>
                <w:lang w:eastAsia="zh-CN"/>
              </w:rPr>
            </w:pPr>
            <w:bookmarkStart w:id="1" w:name="_Hlk35540664"/>
            <w:r>
              <w:rPr>
                <w:rFonts w:hint="eastAsia" w:ascii="仿宋_GB2312" w:hAnsi="Times New Roman" w:eastAsia="仿宋_GB2312"/>
                <w:sz w:val="24"/>
              </w:rPr>
              <w:t>应具备保证产品质量所必需的进货检验、过程检验、出厂检验等设备和辅助检具，检验项目覆盖整车主要技术特性参数、主要零部件基本技术参数、功能和性能方面的检验内容，对安全、环保、节能等法规符合性、顾客特殊要求、新能源汽车专项检测项目要求应特别关注，性能指标应满足相关技术标准的要求，且与所要求的测量能力一致。</w:t>
            </w:r>
            <w:r>
              <w:rPr>
                <w:rFonts w:hint="eastAsia" w:ascii="仿宋_GB2312" w:hAnsi="Times New Roman" w:eastAsia="仿宋_GB2312"/>
                <w:sz w:val="24"/>
                <w:lang w:eastAsia="zh-CN"/>
              </w:rPr>
              <w:t>进货检验可利用供方、外部机构的检验能力。</w:t>
            </w:r>
          </w:p>
          <w:p>
            <w:pPr>
              <w:keepNext w:val="0"/>
              <w:keepLines w:val="0"/>
              <w:suppressLineNumbers w:val="0"/>
              <w:adjustRightInd w:val="0"/>
              <w:snapToGrid w:val="0"/>
              <w:spacing w:before="31" w:beforeLines="10" w:beforeAutospacing="0" w:after="31" w:afterLines="10" w:afterAutospacing="0"/>
              <w:ind w:left="0" w:right="0" w:firstLine="480" w:firstLineChars="200"/>
              <w:rPr>
                <w:rFonts w:hint="default" w:ascii="仿宋_GB2312" w:hAnsi="Times New Roman" w:eastAsia="仿宋_GB2312"/>
                <w:sz w:val="24"/>
              </w:rPr>
            </w:pPr>
            <w:r>
              <w:rPr>
                <w:rFonts w:hint="eastAsia" w:ascii="仿宋_GB2312" w:hAnsi="Times New Roman" w:eastAsia="仿宋_GB2312"/>
                <w:sz w:val="24"/>
              </w:rPr>
              <w:t>应具备车载能源系统/燃料电池系统、驱动系统的电气性能与安全、温度、储氢系统安全等项目的检验设备以及整车安全检测线。</w:t>
            </w:r>
          </w:p>
          <w:p>
            <w:pPr>
              <w:keepNext w:val="0"/>
              <w:keepLines w:val="0"/>
              <w:suppressLineNumbers w:val="0"/>
              <w:adjustRightInd w:val="0"/>
              <w:snapToGrid w:val="0"/>
              <w:spacing w:before="31" w:beforeLines="10" w:beforeAutospacing="0" w:after="31" w:afterLines="10" w:afterAutospacing="0"/>
              <w:ind w:left="0" w:right="0" w:firstLine="480" w:firstLineChars="200"/>
              <w:rPr>
                <w:rFonts w:hint="default" w:ascii="仿宋_GB2312" w:hAnsi="Times New Roman" w:eastAsia="仿宋_GB2312"/>
                <w:sz w:val="24"/>
              </w:rPr>
            </w:pPr>
            <w:r>
              <w:rPr>
                <w:rFonts w:hint="eastAsia" w:ascii="仿宋_GB2312" w:hAnsi="Times New Roman" w:eastAsia="仿宋_GB2312"/>
                <w:sz w:val="24"/>
              </w:rPr>
              <w:t>申请燃料电池汽车的，还应具备燃料电池车载氢系统泄漏及高压气体安全方面的测试仪器和设备。</w:t>
            </w:r>
          </w:p>
          <w:p>
            <w:pPr>
              <w:keepNext w:val="0"/>
              <w:keepLines w:val="0"/>
              <w:suppressLineNumbers w:val="0"/>
              <w:adjustRightInd w:val="0"/>
              <w:snapToGrid w:val="0"/>
              <w:spacing w:before="31" w:beforeLines="10" w:beforeAutospacing="0" w:after="31" w:afterLines="10" w:afterAutospacing="0"/>
              <w:ind w:left="0" w:right="0" w:firstLine="480" w:firstLineChars="200"/>
              <w:rPr>
                <w:rFonts w:hint="default" w:ascii="仿宋_GB2312" w:hAnsi="Times New Roman" w:eastAsia="仿宋_GB2312"/>
                <w:sz w:val="24"/>
              </w:rPr>
            </w:pPr>
            <w:r>
              <w:rPr>
                <w:rFonts w:hint="eastAsia" w:ascii="仿宋_GB2312" w:hAnsi="Times New Roman" w:eastAsia="仿宋_GB2312"/>
                <w:sz w:val="24"/>
              </w:rPr>
              <w:t>应具备整车控制器总成检验能力、整车下线后控制系统及其子系统的检验能力，具备故障诊断专用仪器和软件。</w:t>
            </w:r>
            <w:bookmarkEnd w:id="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31" w:beforeLines="10" w:beforeAutospacing="0" w:after="31" w:afterLines="10" w:afterAutospacing="0"/>
              <w:ind w:left="0" w:right="0"/>
              <w:jc w:val="center"/>
              <w:rPr>
                <w:rFonts w:hint="default" w:ascii="仿宋_GB2312" w:hAnsi="Times New Roman" w:eastAsia="仿宋_GB2312"/>
                <w:sz w:val="24"/>
              </w:rPr>
            </w:pPr>
            <w:r>
              <w:rPr>
                <w:rFonts w:hint="eastAsia" w:ascii="仿宋_GB2312" w:hAnsi="Times New Roman" w:eastAsia="仿宋_GB2312"/>
                <w:sz w:val="24"/>
              </w:rPr>
              <w:t>6*</w:t>
            </w:r>
          </w:p>
        </w:tc>
        <w:tc>
          <w:tcPr>
            <w:tcW w:w="88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31" w:beforeLines="10" w:beforeAutospacing="0" w:after="31" w:afterLines="10" w:afterAutospacing="0"/>
              <w:ind w:left="0" w:right="0" w:firstLine="480" w:firstLineChars="200"/>
              <w:rPr>
                <w:rFonts w:hint="default" w:ascii="仿宋_GB2312" w:hAnsi="Times New Roman" w:eastAsia="仿宋_GB2312"/>
                <w:sz w:val="24"/>
              </w:rPr>
            </w:pPr>
            <w:r>
              <w:rPr>
                <w:rFonts w:hint="eastAsia" w:ascii="仿宋_GB2312" w:hAnsi="Times New Roman" w:eastAsia="仿宋_GB2312"/>
                <w:sz w:val="24"/>
              </w:rPr>
              <w:t>应建立从关键零部件总成供方至整车出厂的完整的产品可追溯体系。应建立整车产品信息及出厂检测数据记录和存储系统，存档期限不低于产品的预期生命周期。</w:t>
            </w:r>
          </w:p>
          <w:p>
            <w:pPr>
              <w:keepNext w:val="0"/>
              <w:keepLines w:val="0"/>
              <w:suppressLineNumbers w:val="0"/>
              <w:adjustRightInd w:val="0"/>
              <w:snapToGrid w:val="0"/>
              <w:spacing w:before="31" w:beforeLines="10" w:beforeAutospacing="0" w:after="31" w:afterLines="10" w:afterAutospacing="0"/>
              <w:ind w:left="0" w:right="0" w:firstLine="480" w:firstLineChars="200"/>
              <w:rPr>
                <w:rFonts w:hint="default" w:ascii="仿宋_GB2312" w:hAnsi="Times New Roman" w:eastAsia="仿宋_GB2312"/>
                <w:sz w:val="24"/>
              </w:rPr>
            </w:pPr>
            <w:r>
              <w:rPr>
                <w:rFonts w:hint="eastAsia" w:ascii="仿宋_GB2312" w:hAnsi="Times New Roman" w:eastAsia="仿宋_GB2312"/>
                <w:sz w:val="24"/>
              </w:rPr>
              <w:t>当产品质量、安全、环保等方面发生重大共性问题和设计缺陷时（包括由于供方原因引起的问题），应能迅速查明原因，确定召回范围，并采取必要措施；当顾客需要维修备件时，应能够迅速确定所需备件的技术状态。</w:t>
            </w:r>
          </w:p>
          <w:p>
            <w:pPr>
              <w:keepNext w:val="0"/>
              <w:keepLines w:val="0"/>
              <w:suppressLineNumbers w:val="0"/>
              <w:adjustRightInd w:val="0"/>
              <w:snapToGrid w:val="0"/>
              <w:spacing w:before="31" w:beforeLines="10" w:beforeAutospacing="0" w:after="31" w:afterLines="10" w:afterAutospacing="0"/>
              <w:ind w:left="0" w:right="0" w:firstLine="480" w:firstLineChars="200"/>
              <w:rPr>
                <w:rFonts w:hint="default" w:ascii="仿宋_GB2312" w:hAnsi="Times New Roman" w:eastAsia="仿宋_GB2312"/>
                <w:sz w:val="24"/>
              </w:rPr>
            </w:pPr>
            <w:r>
              <w:rPr>
                <w:rFonts w:hint="eastAsia" w:ascii="仿宋_GB2312" w:hAnsi="Times New Roman" w:eastAsia="仿宋_GB2312"/>
                <w:sz w:val="24"/>
              </w:rPr>
              <w:t>对于发动机、车载能源系统/燃料电池系统、储氢系统、驱动电机、整车控制器等关键部件，应建立易见的、不可更换的、唯一性标识，并建立可以支持产品追溯的信息数据库。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31" w:beforeLines="10" w:beforeAutospacing="0" w:after="31" w:afterLines="10" w:afterAutospacing="0"/>
              <w:ind w:left="0" w:right="0"/>
              <w:jc w:val="center"/>
              <w:rPr>
                <w:rFonts w:hint="default" w:ascii="仿宋_GB2312" w:hAnsi="Times New Roman" w:eastAsia="仿宋_GB2312"/>
                <w:sz w:val="24"/>
              </w:rPr>
            </w:pPr>
            <w:r>
              <w:rPr>
                <w:rFonts w:hint="eastAsia" w:ascii="仿宋_GB2312" w:hAnsi="Times New Roman" w:eastAsia="仿宋_GB2312"/>
                <w:sz w:val="24"/>
              </w:rPr>
              <w:t>三</w:t>
            </w:r>
          </w:p>
        </w:tc>
        <w:tc>
          <w:tcPr>
            <w:tcW w:w="88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31" w:beforeLines="10" w:beforeAutospacing="0" w:after="31" w:afterLines="10" w:afterAutospacing="0"/>
              <w:ind w:left="0" w:right="0"/>
              <w:rPr>
                <w:rFonts w:hint="default" w:ascii="仿宋_GB2312" w:hAnsi="Times New Roman" w:eastAsia="仿宋_GB2312"/>
                <w:sz w:val="24"/>
              </w:rPr>
            </w:pPr>
            <w:r>
              <w:rPr>
                <w:rFonts w:hint="eastAsia" w:ascii="仿宋_GB2312" w:hAnsi="Times New Roman" w:eastAsia="仿宋_GB2312"/>
                <w:sz w:val="24"/>
              </w:rPr>
              <w:t>售后服务及产品安全保障能力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31" w:beforeLines="10" w:beforeAutospacing="0" w:after="31" w:afterLines="10" w:afterAutospacing="0"/>
              <w:ind w:left="0" w:right="0"/>
              <w:jc w:val="center"/>
              <w:rPr>
                <w:rFonts w:hint="default" w:ascii="仿宋_GB2312" w:hAnsi="Times New Roman" w:eastAsia="仿宋_GB2312"/>
                <w:sz w:val="24"/>
              </w:rPr>
            </w:pPr>
            <w:r>
              <w:rPr>
                <w:rFonts w:hint="eastAsia" w:ascii="仿宋_GB2312" w:hAnsi="Times New Roman" w:eastAsia="仿宋_GB2312"/>
                <w:sz w:val="24"/>
              </w:rPr>
              <w:t>7</w:t>
            </w:r>
          </w:p>
        </w:tc>
        <w:tc>
          <w:tcPr>
            <w:tcW w:w="88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31" w:beforeLines="10" w:beforeAutospacing="0" w:after="31" w:afterLines="10" w:afterAutospacing="0"/>
              <w:ind w:left="0" w:right="0" w:firstLine="480" w:firstLineChars="200"/>
              <w:rPr>
                <w:rFonts w:hint="default" w:ascii="仿宋_GB2312" w:hAnsi="Times New Roman" w:eastAsia="仿宋_GB2312"/>
                <w:sz w:val="24"/>
              </w:rPr>
            </w:pPr>
            <w:r>
              <w:rPr>
                <w:rFonts w:hint="eastAsia" w:ascii="仿宋_GB2312" w:hAnsi="Times New Roman" w:eastAsia="仿宋_GB2312"/>
                <w:sz w:val="24"/>
              </w:rPr>
              <w:t>应建立完整的文件化的销售和售后服务管理体系，包括人员培训（企业内部人员、经销商人员、顾客或使用单位的人员）、销售和售后服务网络建设、维修服务提供、备件提供、索赔处理、信息反馈、整车产品召回、零部件（如电池）回收及再利用、客户管理等内容，并有能力实施。</w:t>
            </w:r>
          </w:p>
          <w:p>
            <w:pPr>
              <w:keepNext w:val="0"/>
              <w:keepLines w:val="0"/>
              <w:suppressLineNumbers w:val="0"/>
              <w:adjustRightInd w:val="0"/>
              <w:snapToGrid w:val="0"/>
              <w:spacing w:before="31" w:beforeLines="10" w:beforeAutospacing="0" w:after="31" w:afterLines="10" w:afterAutospacing="0"/>
              <w:ind w:left="0" w:right="0" w:firstLine="480" w:firstLineChars="200"/>
              <w:rPr>
                <w:rFonts w:hint="default" w:ascii="仿宋_GB2312" w:hAnsi="Times New Roman" w:eastAsia="仿宋_GB2312"/>
                <w:sz w:val="24"/>
              </w:rPr>
            </w:pPr>
            <w:r>
              <w:rPr>
                <w:rFonts w:hint="eastAsia" w:ascii="仿宋_GB2312" w:hAnsi="Times New Roman" w:eastAsia="仿宋_GB2312"/>
                <w:sz w:val="24"/>
              </w:rPr>
              <w:t>应建立相应的技术文件体系，包括销售技术培训手册、整车/底盘/电子电器系统的维修手册、备件目录、专用工具和仪器清单、产品使用说明书、售后服务承诺、应急措施等。</w:t>
            </w:r>
          </w:p>
          <w:p>
            <w:pPr>
              <w:keepNext w:val="0"/>
              <w:keepLines w:val="0"/>
              <w:suppressLineNumbers w:val="0"/>
              <w:adjustRightInd w:val="0"/>
              <w:snapToGrid w:val="0"/>
              <w:spacing w:before="31" w:beforeLines="10" w:beforeAutospacing="0" w:after="31" w:afterLines="10" w:afterAutospacing="0"/>
              <w:ind w:left="0" w:right="0" w:firstLine="480" w:firstLineChars="200"/>
              <w:rPr>
                <w:rFonts w:hint="default" w:ascii="仿宋_GB2312" w:hAnsi="Times New Roman" w:eastAsia="仿宋_GB2312"/>
                <w:sz w:val="24"/>
              </w:rPr>
            </w:pPr>
            <w:r>
              <w:rPr>
                <w:rFonts w:hint="eastAsia" w:ascii="仿宋_GB2312" w:hAnsi="Times New Roman" w:eastAsia="仿宋_GB2312"/>
                <w:sz w:val="24"/>
              </w:rPr>
              <w:t>售后服务承诺内容应充分适宜，应在本企业网站上向社会公开，并严格履行。</w:t>
            </w:r>
          </w:p>
          <w:p>
            <w:pPr>
              <w:keepNext w:val="0"/>
              <w:keepLines w:val="0"/>
              <w:suppressLineNumbers w:val="0"/>
              <w:adjustRightInd w:val="0"/>
              <w:snapToGrid w:val="0"/>
              <w:spacing w:before="31" w:beforeLines="10" w:beforeAutospacing="0" w:after="31" w:afterLines="10" w:afterAutospacing="0"/>
              <w:ind w:left="0" w:right="0" w:firstLine="480" w:firstLineChars="200"/>
              <w:rPr>
                <w:rFonts w:hint="default" w:ascii="仿宋_GB2312" w:hAnsi="Times New Roman" w:eastAsia="仿宋_GB2312"/>
                <w:sz w:val="24"/>
              </w:rPr>
            </w:pPr>
            <w:r>
              <w:rPr>
                <w:rFonts w:hint="eastAsia" w:ascii="仿宋_GB2312" w:hAnsi="Times New Roman" w:eastAsia="仿宋_GB2312"/>
                <w:sz w:val="24"/>
              </w:rPr>
              <w:t>已获得新能源汽车生产准入的企业如果发生重组，应保证重组后企业提供的售后服务不低于重组前作出的售后服务承诺。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31" w:beforeLines="10" w:beforeAutospacing="0" w:after="31" w:afterLines="10" w:afterAutospacing="0"/>
              <w:ind w:left="0" w:right="0"/>
              <w:jc w:val="center"/>
              <w:rPr>
                <w:rFonts w:hint="default" w:ascii="仿宋_GB2312" w:hAnsi="Times New Roman" w:eastAsia="仿宋_GB2312"/>
                <w:sz w:val="24"/>
              </w:rPr>
            </w:pPr>
            <w:r>
              <w:rPr>
                <w:rFonts w:hint="eastAsia" w:ascii="仿宋_GB2312" w:hAnsi="Times New Roman" w:eastAsia="仿宋_GB2312"/>
                <w:sz w:val="24"/>
              </w:rPr>
              <w:t>8</w:t>
            </w:r>
          </w:p>
        </w:tc>
        <w:tc>
          <w:tcPr>
            <w:tcW w:w="88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31" w:beforeLines="10" w:beforeAutospacing="0" w:after="31" w:afterLines="10" w:afterAutospacing="0"/>
              <w:ind w:left="0" w:right="0" w:firstLine="480" w:firstLineChars="200"/>
              <w:rPr>
                <w:rFonts w:hint="default" w:ascii="仿宋_GB2312" w:hAnsi="Times New Roman" w:eastAsia="仿宋_GB2312"/>
                <w:sz w:val="24"/>
              </w:rPr>
            </w:pPr>
            <w:r>
              <w:rPr>
                <w:rFonts w:hint="eastAsia" w:ascii="仿宋_GB2312" w:hAnsi="Times New Roman" w:eastAsia="仿宋_GB2312"/>
                <w:sz w:val="24"/>
              </w:rPr>
              <w:t>维修服务、备件供应满足所有客户要求，能保证在产品的使用寿命期限内、在企业承诺的限定服务时间内向顾客提供可靠的备件、维修和咨询服务。</w:t>
            </w:r>
          </w:p>
          <w:p>
            <w:pPr>
              <w:keepNext w:val="0"/>
              <w:keepLines w:val="0"/>
              <w:suppressLineNumbers w:val="0"/>
              <w:adjustRightInd w:val="0"/>
              <w:snapToGrid w:val="0"/>
              <w:spacing w:before="31" w:beforeLines="10" w:beforeAutospacing="0" w:after="31" w:afterLines="10" w:afterAutospacing="0"/>
              <w:ind w:left="0" w:right="0" w:firstLine="480" w:firstLineChars="200"/>
              <w:rPr>
                <w:rFonts w:hint="default" w:ascii="仿宋_GB2312" w:hAnsi="Times New Roman" w:eastAsia="仿宋_GB2312"/>
                <w:sz w:val="24"/>
              </w:rPr>
            </w:pPr>
            <w:r>
              <w:rPr>
                <w:rFonts w:hint="eastAsia" w:ascii="仿宋_GB2312" w:hAnsi="Times New Roman" w:eastAsia="仿宋_GB2312"/>
                <w:sz w:val="24"/>
              </w:rPr>
              <w:t>售后服务体系除能独立完成或与供方协作完成与常规汽车相同的售后服务项目外，还应具备整车及车载能源系统、驱动系统、控制系统及子系统和相关部件的故障诊断专用仪器和软件，具备相应的维修服务能力和更换能力。</w:t>
            </w:r>
          </w:p>
          <w:p>
            <w:pPr>
              <w:keepNext w:val="0"/>
              <w:keepLines w:val="0"/>
              <w:suppressLineNumbers w:val="0"/>
              <w:adjustRightInd w:val="0"/>
              <w:snapToGrid w:val="0"/>
              <w:spacing w:before="31" w:beforeLines="10" w:beforeAutospacing="0" w:after="31" w:afterLines="10" w:afterAutospacing="0"/>
              <w:ind w:left="0" w:right="0" w:firstLine="480" w:firstLineChars="200"/>
              <w:rPr>
                <w:rFonts w:hint="default" w:ascii="仿宋_GB2312" w:hAnsi="Times New Roman" w:eastAsia="仿宋_GB2312"/>
                <w:sz w:val="24"/>
              </w:rPr>
            </w:pPr>
            <w:r>
              <w:rPr>
                <w:rFonts w:hint="eastAsia" w:ascii="仿宋_GB2312" w:hAnsi="Times New Roman" w:eastAsia="仿宋_GB2312"/>
                <w:sz w:val="24"/>
              </w:rPr>
              <w:t>应建立零部件（如电池）回收及再利用的渠道，与有关各方签订相关协议，确保回收及再利用的顺利实施。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31" w:beforeLines="10" w:beforeAutospacing="0" w:after="31" w:afterLines="10" w:afterAutospacing="0"/>
              <w:ind w:left="0" w:right="0"/>
              <w:jc w:val="center"/>
              <w:rPr>
                <w:rFonts w:hint="default" w:ascii="仿宋_GB2312" w:hAnsi="Times New Roman" w:eastAsia="仿宋_GB2312"/>
                <w:sz w:val="24"/>
              </w:rPr>
            </w:pPr>
            <w:r>
              <w:rPr>
                <w:rFonts w:hint="eastAsia" w:ascii="仿宋_GB2312" w:hAnsi="Times New Roman" w:eastAsia="仿宋_GB2312"/>
                <w:sz w:val="24"/>
              </w:rPr>
              <w:t>9*</w:t>
            </w:r>
          </w:p>
        </w:tc>
        <w:tc>
          <w:tcPr>
            <w:tcW w:w="88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31" w:beforeLines="10" w:beforeAutospacing="0" w:after="31" w:afterLines="10" w:afterAutospacing="0"/>
              <w:ind w:left="0" w:right="0" w:firstLine="480" w:firstLineChars="200"/>
              <w:rPr>
                <w:rFonts w:hint="default" w:ascii="仿宋_GB2312" w:hAnsi="Times New Roman" w:eastAsia="仿宋_GB2312"/>
                <w:sz w:val="24"/>
              </w:rPr>
            </w:pPr>
            <w:r>
              <w:rPr>
                <w:rFonts w:hint="eastAsia" w:ascii="仿宋_GB2312" w:hAnsi="Times New Roman" w:eastAsia="仿宋_GB2312"/>
                <w:sz w:val="24"/>
              </w:rPr>
              <w:t>应建立质量信息及时反馈机制及产品安全保障机制。</w:t>
            </w:r>
          </w:p>
          <w:p>
            <w:pPr>
              <w:keepNext w:val="0"/>
              <w:keepLines w:val="0"/>
              <w:suppressLineNumbers w:val="0"/>
              <w:adjustRightInd w:val="0"/>
              <w:snapToGrid w:val="0"/>
              <w:spacing w:before="31" w:beforeLines="10" w:beforeAutospacing="0" w:after="31" w:afterLines="10" w:afterAutospacing="0"/>
              <w:ind w:left="0" w:right="0" w:firstLine="480" w:firstLineChars="200"/>
              <w:rPr>
                <w:rFonts w:hint="default" w:ascii="仿宋_GB2312" w:hAnsi="Times New Roman" w:eastAsia="仿宋_GB2312"/>
                <w:sz w:val="24"/>
              </w:rPr>
            </w:pPr>
            <w:r>
              <w:rPr>
                <w:rFonts w:hint="eastAsia" w:ascii="仿宋_GB2312" w:hAnsi="Times New Roman" w:eastAsia="仿宋_GB2312"/>
                <w:sz w:val="24"/>
              </w:rPr>
              <w:t>应在产品全生命周期内为所销售的每一辆新能源汽车（含底盘）建立相应的档案，跟踪汽车使用、维护、维修情况，建立新能源汽车动力电池溯源信息管理系统，跟踪记录动力电池回收利用情况。</w:t>
            </w:r>
          </w:p>
          <w:p>
            <w:pPr>
              <w:keepNext w:val="0"/>
              <w:keepLines w:val="0"/>
              <w:suppressLineNumbers w:val="0"/>
              <w:adjustRightInd w:val="0"/>
              <w:snapToGrid w:val="0"/>
              <w:spacing w:before="31" w:beforeLines="10" w:beforeAutospacing="0" w:after="31" w:afterLines="10" w:afterAutospacing="0"/>
              <w:ind w:left="0" w:right="0" w:firstLine="480" w:firstLineChars="200"/>
              <w:rPr>
                <w:rFonts w:hint="default" w:ascii="仿宋_GB2312" w:hAnsi="Times New Roman" w:eastAsia="仿宋_GB2312"/>
                <w:sz w:val="24"/>
              </w:rPr>
            </w:pPr>
            <w:r>
              <w:rPr>
                <w:rFonts w:hint="eastAsia" w:ascii="仿宋_GB2312" w:hAnsi="Times New Roman" w:eastAsia="仿宋_GB2312"/>
                <w:sz w:val="24"/>
              </w:rPr>
              <w:t>应按照与用户的协议，对已销售的全部新能源汽车（含底盘）的运行安全状态进行监测，直至汽车停止使用或报废。监测数据应至少包括车辆运行安全、故障、充电、能耗情况等方面，应对监测数据进行分析，并能为车辆改进提供数据支持。监测数据保存期应不低于产品的生命周期。企业监测平台应与地方和国家新能源汽车推广应用监测平台对接。</w:t>
            </w:r>
          </w:p>
          <w:p>
            <w:pPr>
              <w:keepNext w:val="0"/>
              <w:keepLines w:val="0"/>
              <w:suppressLineNumbers w:val="0"/>
              <w:adjustRightInd w:val="0"/>
              <w:snapToGrid w:val="0"/>
              <w:spacing w:before="31" w:beforeLines="10" w:beforeAutospacing="0" w:after="31" w:afterLines="10" w:afterAutospacing="0"/>
              <w:ind w:left="0" w:right="0" w:firstLine="480" w:firstLineChars="200"/>
              <w:rPr>
                <w:rFonts w:hint="default" w:ascii="仿宋_GB2312" w:hAnsi="Times New Roman" w:eastAsia="仿宋_GB2312"/>
                <w:sz w:val="24"/>
              </w:rPr>
            </w:pPr>
            <w:r>
              <w:rPr>
                <w:rFonts w:hint="eastAsia" w:ascii="仿宋_GB2312" w:hAnsi="Times New Roman" w:eastAsia="仿宋_GB2312"/>
                <w:sz w:val="24"/>
              </w:rPr>
              <w:t>应建立新能源汽车安全事故应急处理制度，包括应急预案、抢险救援方案、事故调查及汇报方案等。</w:t>
            </w:r>
          </w:p>
          <w:p>
            <w:pPr>
              <w:keepNext w:val="0"/>
              <w:keepLines w:val="0"/>
              <w:suppressLineNumbers w:val="0"/>
              <w:adjustRightInd w:val="0"/>
              <w:snapToGrid w:val="0"/>
              <w:spacing w:before="31" w:beforeLines="10" w:beforeAutospacing="0" w:after="31" w:afterLines="10" w:afterAutospacing="0"/>
              <w:ind w:left="0" w:right="0" w:firstLine="480" w:firstLineChars="200"/>
              <w:rPr>
                <w:rFonts w:hint="default" w:ascii="仿宋_GB2312" w:hAnsi="Times New Roman" w:eastAsia="仿宋_GB2312"/>
                <w:sz w:val="24"/>
              </w:rPr>
            </w:pPr>
            <w:r>
              <w:rPr>
                <w:rFonts w:hint="eastAsia" w:ascii="仿宋_GB2312" w:hAnsi="Times New Roman" w:eastAsia="仿宋_GB2312"/>
                <w:sz w:val="24"/>
              </w:rPr>
              <w:t>应编写年度报告。年度报告应长期存档备查。</w:t>
            </w:r>
          </w:p>
        </w:tc>
      </w:tr>
    </w:tbl>
    <w:p>
      <w:pPr>
        <w:widowControl/>
        <w:snapToGrid w:val="0"/>
        <w:spacing w:line="420" w:lineRule="exact"/>
        <w:ind w:firstLine="240" w:firstLineChars="100"/>
        <w:jc w:val="left"/>
        <w:rPr>
          <w:rFonts w:ascii="仿宋_GB2312" w:hAnsi="Times New Roman" w:eastAsia="仿宋_GB2312"/>
          <w:bCs/>
          <w:kern w:val="0"/>
          <w:sz w:val="24"/>
          <w:szCs w:val="22"/>
        </w:rPr>
      </w:pPr>
      <w:r>
        <w:rPr>
          <w:rFonts w:hint="eastAsia" w:ascii="仿宋_GB2312" w:hAnsi="Times New Roman" w:eastAsia="仿宋_GB2312"/>
          <w:bCs/>
          <w:kern w:val="0"/>
          <w:sz w:val="24"/>
          <w:szCs w:val="22"/>
        </w:rPr>
        <w:t>注：1．申请新能源汽车生产企业准入的企业，如已按照相同类别的常规汽车生产企业准入管理规则通过审查，则对相关要求免予审查。</w:t>
      </w:r>
    </w:p>
    <w:p>
      <w:pPr>
        <w:widowControl/>
        <w:snapToGrid w:val="0"/>
        <w:spacing w:line="420" w:lineRule="exact"/>
        <w:jc w:val="left"/>
        <w:rPr>
          <w:rFonts w:ascii="Times New Roman" w:hAnsi="Times New Roman" w:eastAsia="仿宋_GB2312"/>
          <w:bCs/>
          <w:kern w:val="0"/>
          <w:sz w:val="24"/>
          <w:szCs w:val="22"/>
        </w:rPr>
      </w:pPr>
      <w:r>
        <w:rPr>
          <w:rFonts w:hint="eastAsia" w:ascii="仿宋_GB2312" w:hAnsi="Times New Roman" w:eastAsia="仿宋_GB2312"/>
          <w:bCs/>
          <w:kern w:val="0"/>
          <w:sz w:val="24"/>
          <w:szCs w:val="22"/>
        </w:rPr>
        <w:t xml:space="preserve">      2．表中准</w:t>
      </w:r>
      <w:r>
        <w:rPr>
          <w:rFonts w:hint="eastAsia" w:ascii="Times New Roman" w:hAnsi="Times New Roman" w:eastAsia="仿宋_GB2312"/>
          <w:bCs/>
          <w:kern w:val="0"/>
          <w:sz w:val="24"/>
          <w:szCs w:val="22"/>
        </w:rPr>
        <w:t>入审查要求分为否决项和一般项两类，共9个条款，标注“*”的条款（共5个）为否决项。</w:t>
      </w:r>
    </w:p>
    <w:p>
      <w:pPr>
        <w:widowControl/>
        <w:snapToGrid w:val="0"/>
        <w:spacing w:line="420" w:lineRule="exact"/>
        <w:jc w:val="left"/>
        <w:rPr>
          <w:rFonts w:ascii="Times New Roman" w:hAnsi="Times New Roman" w:eastAsia="仿宋_GB2312"/>
          <w:bCs/>
          <w:kern w:val="0"/>
          <w:sz w:val="24"/>
          <w:szCs w:val="22"/>
        </w:rPr>
      </w:pPr>
      <w:r>
        <w:rPr>
          <w:rFonts w:hint="eastAsia" w:ascii="Times New Roman" w:hAnsi="Times New Roman" w:eastAsia="仿宋_GB2312"/>
          <w:bCs/>
          <w:kern w:val="0"/>
          <w:sz w:val="24"/>
          <w:szCs w:val="22"/>
        </w:rPr>
        <w:t xml:space="preserve">      3．判定原则如下：</w:t>
      </w:r>
    </w:p>
    <w:p>
      <w:pPr>
        <w:widowControl/>
        <w:snapToGrid w:val="0"/>
        <w:spacing w:line="420" w:lineRule="exact"/>
        <w:ind w:firstLine="480" w:firstLineChars="200"/>
        <w:jc w:val="left"/>
        <w:rPr>
          <w:rFonts w:ascii="Times New Roman" w:hAnsi="Times New Roman" w:eastAsia="仿宋_GB2312"/>
          <w:bCs/>
          <w:kern w:val="0"/>
          <w:sz w:val="24"/>
          <w:szCs w:val="22"/>
        </w:rPr>
      </w:pPr>
      <w:r>
        <w:rPr>
          <w:rFonts w:hint="eastAsia" w:ascii="Times New Roman" w:hAnsi="Times New Roman" w:eastAsia="仿宋_GB2312"/>
          <w:bCs/>
          <w:kern w:val="0"/>
          <w:sz w:val="24"/>
          <w:szCs w:val="22"/>
        </w:rPr>
        <w:t>（1）现场考核全部否决项均符合要求，一般项不符合不超过2项，审查结论为通过；其余情况均为不通过。</w:t>
      </w:r>
    </w:p>
    <w:p>
      <w:pPr>
        <w:widowControl/>
        <w:snapToGrid w:val="0"/>
        <w:spacing w:line="420" w:lineRule="exact"/>
        <w:ind w:firstLine="480" w:firstLineChars="200"/>
        <w:jc w:val="left"/>
        <w:rPr>
          <w:rFonts w:hint="eastAsia" w:ascii="Times New Roman" w:hAnsi="Times New Roman" w:eastAsia="仿宋_GB2312"/>
          <w:bCs/>
          <w:kern w:val="0"/>
          <w:sz w:val="24"/>
          <w:szCs w:val="22"/>
        </w:rPr>
      </w:pPr>
      <w:r>
        <w:rPr>
          <w:rFonts w:hint="eastAsia" w:ascii="Times New Roman" w:hAnsi="Times New Roman" w:eastAsia="仿宋_GB2312"/>
          <w:bCs/>
          <w:kern w:val="0"/>
          <w:sz w:val="24"/>
          <w:szCs w:val="22"/>
        </w:rPr>
        <w:t>（2）当现场考核结果未达到本注中第（1）条要求时，申请企业可在3个月内针对不符合项进行整改，经验证后达到本注中第（1）条要求的，考核结论为通过；验证未达到第（1）条要求的，结论为不通过，企业需重新申请。整改验证只能进行一次。</w:t>
      </w:r>
      <w:bookmarkStart w:id="2" w:name="_GoBack"/>
      <w:bookmarkEnd w:id="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swiss"/>
    <w:pitch w:val="default"/>
    <w:sig w:usb0="00000001" w:usb1="080E0000" w:usb2="00000000" w:usb3="00000000" w:csb0="00040000" w:csb1="00000000"/>
  </w:font>
  <w:font w:name="Dotum">
    <w:panose1 w:val="020B0600000101010101"/>
    <w:charset w:val="81"/>
    <w:family w:val="decorative"/>
    <w:pitch w:val="default"/>
    <w:sig w:usb0="B00002AF" w:usb1="69D77CFB" w:usb2="00000030" w:usb3="00000000" w:csb0="4008009F" w:csb1="DFD70000"/>
  </w:font>
  <w:font w:name="华文中宋">
    <w:altName w:val="宋体"/>
    <w:panose1 w:val="00000000000000000000"/>
    <w:charset w:val="00"/>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665A"/>
    <w:rsid w:val="00207C31"/>
    <w:rsid w:val="00344362"/>
    <w:rsid w:val="00344B9C"/>
    <w:rsid w:val="00382BB9"/>
    <w:rsid w:val="003F79E4"/>
    <w:rsid w:val="006A02A1"/>
    <w:rsid w:val="007F32B3"/>
    <w:rsid w:val="009E4DF8"/>
    <w:rsid w:val="00D14CA7"/>
    <w:rsid w:val="00EB1A76"/>
    <w:rsid w:val="00EC1FFF"/>
    <w:rsid w:val="00F97E99"/>
    <w:rsid w:val="01CB188C"/>
    <w:rsid w:val="06FE0CDF"/>
    <w:rsid w:val="0FADC406"/>
    <w:rsid w:val="1F3BB340"/>
    <w:rsid w:val="214B4F0D"/>
    <w:rsid w:val="2BFE2EA6"/>
    <w:rsid w:val="32CA08F7"/>
    <w:rsid w:val="36BA87E1"/>
    <w:rsid w:val="3BFFD2AF"/>
    <w:rsid w:val="3DDF55DC"/>
    <w:rsid w:val="3DEFC0B0"/>
    <w:rsid w:val="3FBB5B3B"/>
    <w:rsid w:val="47FF22BC"/>
    <w:rsid w:val="4AFB257D"/>
    <w:rsid w:val="4F6FAA5D"/>
    <w:rsid w:val="51DFA526"/>
    <w:rsid w:val="573FE58D"/>
    <w:rsid w:val="57FFD753"/>
    <w:rsid w:val="59FCF7E6"/>
    <w:rsid w:val="5B8C3299"/>
    <w:rsid w:val="5FEA5240"/>
    <w:rsid w:val="6039284A"/>
    <w:rsid w:val="64E739E9"/>
    <w:rsid w:val="6877074A"/>
    <w:rsid w:val="6BF71430"/>
    <w:rsid w:val="6DCFF008"/>
    <w:rsid w:val="6DFDF29C"/>
    <w:rsid w:val="6DFFDB62"/>
    <w:rsid w:val="6EEAD5C2"/>
    <w:rsid w:val="6FD67E26"/>
    <w:rsid w:val="6FF7E345"/>
    <w:rsid w:val="78340C66"/>
    <w:rsid w:val="78EFCC0A"/>
    <w:rsid w:val="7B1FB2CC"/>
    <w:rsid w:val="7BFF6BF9"/>
    <w:rsid w:val="7E178931"/>
    <w:rsid w:val="7FA7523B"/>
    <w:rsid w:val="7FBFBCB2"/>
    <w:rsid w:val="7FFF4A5C"/>
    <w:rsid w:val="8BDB38FC"/>
    <w:rsid w:val="8F731630"/>
    <w:rsid w:val="AFFBC4B8"/>
    <w:rsid w:val="BEFBC83B"/>
    <w:rsid w:val="BF7ACB91"/>
    <w:rsid w:val="D0B760FC"/>
    <w:rsid w:val="D3DD0ABD"/>
    <w:rsid w:val="DD8F83D4"/>
    <w:rsid w:val="DD9B428B"/>
    <w:rsid w:val="DDFAF649"/>
    <w:rsid w:val="DEFEECDF"/>
    <w:rsid w:val="DF5CDD55"/>
    <w:rsid w:val="E6FFF7CA"/>
    <w:rsid w:val="E82F6A91"/>
    <w:rsid w:val="EA39E4C1"/>
    <w:rsid w:val="EDDB8387"/>
    <w:rsid w:val="EECB068F"/>
    <w:rsid w:val="EEFAF2AA"/>
    <w:rsid w:val="EF7D047F"/>
    <w:rsid w:val="F1468280"/>
    <w:rsid w:val="FAFB88CC"/>
    <w:rsid w:val="FB4EF9AE"/>
    <w:rsid w:val="FFBBEC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2"/>
      <w:tblLayout w:type="fixed"/>
      <w:tblCellMar>
        <w:top w:w="0" w:type="dxa"/>
        <w:left w:w="108" w:type="dxa"/>
        <w:bottom w:w="0" w:type="dxa"/>
        <w:right w:w="108" w:type="dxa"/>
      </w:tblCellMar>
    </w:tblPr>
  </w:style>
  <w:style w:type="paragraph" w:styleId="2">
    <w:name w:val="Body Text"/>
    <w:basedOn w:val="1"/>
    <w:qFormat/>
    <w:uiPriority w:val="0"/>
    <w:pPr>
      <w:widowControl/>
      <w:spacing w:after="240" w:afterLines="0"/>
      <w:ind w:left="142"/>
    </w:pPr>
    <w:rPr>
      <w:rFonts w:ascii="Verdana" w:hAnsi="Verdana" w:eastAsia="宋体" w:cs="Times New Roman"/>
      <w:kern w:val="0"/>
      <w:sz w:val="18"/>
      <w:lang w:eastAsia="en-US"/>
    </w:rPr>
  </w:style>
  <w:style w:type="paragraph" w:styleId="3">
    <w:name w:val="Body Text Indent"/>
    <w:basedOn w:val="1"/>
    <w:link w:val="14"/>
    <w:unhideWhenUsed/>
    <w:qFormat/>
    <w:uiPriority w:val="99"/>
    <w:pPr>
      <w:spacing w:after="120"/>
      <w:ind w:left="420" w:leftChars="200"/>
    </w:pPr>
  </w:style>
  <w:style w:type="paragraph" w:styleId="4">
    <w:name w:val="Balloon Text"/>
    <w:basedOn w:val="1"/>
    <w:link w:val="15"/>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Body Text First Indent 2"/>
    <w:basedOn w:val="3"/>
    <w:link w:val="16"/>
    <w:unhideWhenUsed/>
    <w:qFormat/>
    <w:uiPriority w:val="99"/>
    <w:pPr>
      <w:ind w:firstLine="420" w:firstLineChars="200"/>
    </w:p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character" w:styleId="11">
    <w:name w:val="Hyperlink"/>
    <w:unhideWhenUsed/>
    <w:uiPriority w:val="0"/>
    <w:rPr>
      <w:rFonts w:hint="eastAsia" w:ascii="宋体" w:hAnsi="宋体" w:eastAsia="宋体"/>
      <w:color w:val="000000"/>
      <w:sz w:val="18"/>
    </w:rPr>
  </w:style>
  <w:style w:type="character" w:customStyle="1" w:styleId="13">
    <w:name w:val="10"/>
    <w:basedOn w:val="9"/>
    <w:qFormat/>
    <w:uiPriority w:val="0"/>
    <w:rPr>
      <w:rFonts w:hint="default" w:ascii="Calibri" w:hAnsi="Calibri" w:cs="Calibri"/>
    </w:rPr>
  </w:style>
  <w:style w:type="character" w:customStyle="1" w:styleId="14">
    <w:name w:val="正文文本缩进 字符"/>
    <w:basedOn w:val="9"/>
    <w:link w:val="3"/>
    <w:semiHidden/>
    <w:qFormat/>
    <w:uiPriority w:val="99"/>
    <w:rPr>
      <w:rFonts w:ascii="Calibri" w:hAnsi="Calibri" w:eastAsia="宋体" w:cs="Times New Roman"/>
      <w:szCs w:val="24"/>
    </w:rPr>
  </w:style>
  <w:style w:type="character" w:customStyle="1" w:styleId="15">
    <w:name w:val="批注框文本 字符"/>
    <w:basedOn w:val="9"/>
    <w:link w:val="4"/>
    <w:semiHidden/>
    <w:qFormat/>
    <w:uiPriority w:val="99"/>
    <w:rPr>
      <w:rFonts w:ascii="Calibri" w:hAnsi="Calibri" w:eastAsia="宋体" w:cs="Times New Roman"/>
      <w:sz w:val="18"/>
      <w:szCs w:val="18"/>
    </w:rPr>
  </w:style>
  <w:style w:type="character" w:customStyle="1" w:styleId="16">
    <w:name w:val="正文文本首行缩进 2 字符"/>
    <w:basedOn w:val="14"/>
    <w:link w:val="6"/>
    <w:semiHidden/>
    <w:qFormat/>
    <w:uiPriority w:val="99"/>
    <w:rPr>
      <w:rFonts w:ascii="Calibri" w:hAnsi="Calibri" w:eastAsia="宋体" w:cs="Times New Roman"/>
      <w:szCs w:val="24"/>
    </w:rPr>
  </w:style>
  <w:style w:type="character" w:customStyle="1" w:styleId="17">
    <w:name w:val="页脚 字符"/>
    <w:basedOn w:val="9"/>
    <w:link w:val="5"/>
    <w:qFormat/>
    <w:uiPriority w:val="99"/>
    <w:rPr>
      <w:rFonts w:ascii="Calibri" w:hAnsi="Calibri" w:eastAsia="宋体" w:cs="Times New Roman"/>
      <w:sz w:val="18"/>
      <w:szCs w:val="18"/>
    </w:rPr>
  </w:style>
  <w:style w:type="character" w:customStyle="1" w:styleId="18">
    <w:name w:val="页眉 字符"/>
    <w:basedOn w:val="9"/>
    <w:link w:val="7"/>
    <w:qFormat/>
    <w:uiPriority w:val="99"/>
    <w:rPr>
      <w:rFonts w:ascii="Calibri" w:hAnsi="Calibri" w:eastAsia="宋体" w:cs="Times New Roman"/>
      <w:sz w:val="18"/>
      <w:szCs w:val="18"/>
    </w:rPr>
  </w:style>
  <w:style w:type="character" w:customStyle="1" w:styleId="19">
    <w:name w:val="15"/>
    <w:basedOn w:val="9"/>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339</Words>
  <Characters>1933</Characters>
  <Lines>1</Lines>
  <Paragraphs>1</Paragraphs>
  <TotalTime>2</TotalTime>
  <ScaleCrop>false</ScaleCrop>
  <LinksUpToDate>false</LinksUpToDate>
  <CharactersWithSpaces>2268</CharactersWithSpaces>
  <Application>WPS Office_10.8.2.7059_F1E327BC-269C-435d-A152-05C5408002CA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2020-03-28T11:42:00Z</dcterms:created>
  <dc:creator>徐 青</dc:creator>
  <cp:lastModifiedBy>洪昌智</cp:lastModifiedBy>
  <dcterms:modified xsi:type="dcterms:W3CDTF">2020-08-19T00:59:03Z</dcterms:modified>
  <dc:title>工业和信息化部关于修改《新能源汽车生产企业及产品准入管理规定》的决定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ies>
</file>