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7"/>
        <w:spacing w:line="240" w:lineRule="auto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pStyle w:val="7"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年新能源汽车推广补贴方案</w:t>
      </w:r>
    </w:p>
    <w:p>
      <w:pPr>
        <w:pStyle w:val="7"/>
        <w:spacing w:line="240" w:lineRule="auto"/>
        <w:ind w:firstLine="633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非公共领域补贴方案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新能源乘用车、新能源客车、新能源货车分别如表1、表2、表3所示。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表1 新能源乘用车补贴方案（非公共领域）</w:t>
      </w:r>
    </w:p>
    <w:p>
      <w:pPr>
        <w:jc w:val="righ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仿宋_GB2312"/>
          <w:szCs w:val="21"/>
        </w:rPr>
        <w:t>单位：万元</w:t>
      </w:r>
    </w:p>
    <w:tbl>
      <w:tblPr>
        <w:tblStyle w:val="4"/>
        <w:tblW w:w="8539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8"/>
        <w:gridCol w:w="1487"/>
        <w:gridCol w:w="1380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5111" w:type="dxa"/>
            <w:gridSpan w:val="3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87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1.8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插电式混合动力乘用车（含增程式）</w:t>
            </w:r>
          </w:p>
        </w:tc>
        <w:tc>
          <w:tcPr>
            <w:tcW w:w="2867" w:type="dxa"/>
            <w:gridSpan w:val="2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539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纯电动乘用车单车补贴金额=Min{里程补贴标准，车辆带电量×400元}×电池系统能量密度调整系数×车辆能耗调整系数。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补贴前售价应在30万元以下（以机动车销售统一发票、企业官方指导价等为参考依据，“换电模式”除外）。</w:t>
            </w:r>
          </w:p>
        </w:tc>
      </w:tr>
    </w:tbl>
    <w:p>
      <w:pPr>
        <w:pStyle w:val="6"/>
        <w:autoSpaceDE/>
        <w:autoSpaceDN/>
        <w:adjustRightInd/>
        <w:snapToGrid/>
        <w:spacing w:line="240" w:lineRule="auto"/>
        <w:ind w:firstLine="0" w:firstLineChars="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表2 新能源客车补贴方案（非公共领域）</w:t>
      </w:r>
    </w:p>
    <w:tbl>
      <w:tblPr>
        <w:tblStyle w:val="4"/>
        <w:tblW w:w="8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28"/>
        <w:gridCol w:w="1272"/>
        <w:gridCol w:w="1334"/>
        <w:gridCol w:w="1309"/>
        <w:gridCol w:w="714"/>
        <w:gridCol w:w="92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91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2462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1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391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30" w:type="dxa"/>
            <w:gridSpan w:val="8"/>
            <w:noWrap w:val="0"/>
            <w:vAlign w:val="center"/>
          </w:tcPr>
          <w:p>
            <w:pPr>
              <w:pStyle w:val="6"/>
              <w:snapToGrid/>
              <w:spacing w:line="240" w:lineRule="exact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6"/>
        <w:autoSpaceDE/>
        <w:autoSpaceDN/>
        <w:adjustRightInd/>
        <w:snapToGrid/>
        <w:spacing w:beforeLines="50" w:line="240" w:lineRule="auto"/>
        <w:ind w:firstLine="0" w:firstLineChars="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表3 调整后的新能源货车补贴方案（非公共领域）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公共交通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等</w:t>
      </w:r>
      <w:r>
        <w:rPr>
          <w:rFonts w:hint="eastAsia" w:ascii="黑体" w:hAnsi="黑体" w:eastAsia="黑体" w:cs="黑体"/>
          <w:sz w:val="32"/>
          <w:szCs w:val="32"/>
        </w:rPr>
        <w:t>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新能源乘用车、新能源客车、新能源货车分别如表4、表5、表6所示。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表4 新能源乘用车补贴方案（公共领域）</w:t>
      </w:r>
    </w:p>
    <w:p>
      <w:pPr>
        <w:spacing w:before="156"/>
        <w:ind w:firstLine="420"/>
        <w:jc w:val="right"/>
        <w:rPr>
          <w:rFonts w:eastAsia="黑体"/>
          <w:color w:val="000000"/>
          <w:szCs w:val="32"/>
        </w:rPr>
      </w:pPr>
      <w:r>
        <w:rPr>
          <w:rFonts w:eastAsia="仿宋_GB2312"/>
          <w:color w:val="000000"/>
          <w:szCs w:val="21"/>
        </w:rPr>
        <w:t>单位：万元</w:t>
      </w:r>
    </w:p>
    <w:tbl>
      <w:tblPr>
        <w:tblStyle w:val="4"/>
        <w:tblW w:w="818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5"/>
        <w:gridCol w:w="1401"/>
        <w:gridCol w:w="130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4890" w:type="dxa"/>
            <w:gridSpan w:val="3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0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highlight w:val="none"/>
                <w:lang w:val="en-US" w:eastAsia="zh-CN"/>
              </w:rPr>
              <w:t>1.62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highlight w:val="none"/>
                <w:lang w:val="en-US" w:eastAsia="zh-CN"/>
              </w:rPr>
              <w:t>2.25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插电式混合动力乘用车（含增程式）</w:t>
            </w:r>
          </w:p>
        </w:tc>
        <w:tc>
          <w:tcPr>
            <w:tcW w:w="2701" w:type="dxa"/>
            <w:gridSpan w:val="2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/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highlight w:val="none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185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95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元}×电池系统能量密度调整系数×车辆能耗调整系数。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补贴前售价应在30万元以下（以机动车销售统一发票、企业官方指导价等为参考依据，“换电模式”除外）。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表5 新能源客车补贴方案（公共领域）</w:t>
      </w:r>
    </w:p>
    <w:tbl>
      <w:tblPr>
        <w:tblStyle w:val="4"/>
        <w:tblW w:w="8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28"/>
        <w:gridCol w:w="1272"/>
        <w:gridCol w:w="1334"/>
        <w:gridCol w:w="1309"/>
        <w:gridCol w:w="714"/>
        <w:gridCol w:w="965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91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2437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1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391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05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6"/>
        <w:autoSpaceDE/>
        <w:autoSpaceDN/>
        <w:adjustRightInd/>
        <w:snapToGrid/>
        <w:spacing w:beforeLines="100" w:line="240" w:lineRule="auto"/>
        <w:ind w:firstLine="0" w:firstLineChars="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表6 新能源货车补贴方案（公共领域）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val="en-US" w:eastAsia="zh-CN"/>
              </w:rPr>
              <w:t>4.95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1.8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3.15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48F0"/>
    <w:multiLevelType w:val="singleLevel"/>
    <w:tmpl w:val="21CD4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01981B"/>
    <w:multiLevelType w:val="singleLevel"/>
    <w:tmpl w:val="49019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F3B18"/>
    <w:rsid w:val="30026679"/>
    <w:rsid w:val="3B890813"/>
    <w:rsid w:val="3BFF5A1D"/>
    <w:rsid w:val="3C873173"/>
    <w:rsid w:val="3EAB0813"/>
    <w:rsid w:val="446971EC"/>
    <w:rsid w:val="46D87E7D"/>
    <w:rsid w:val="5B7E1EA4"/>
    <w:rsid w:val="67CE3EF7"/>
    <w:rsid w:val="69A5627B"/>
    <w:rsid w:val="71B053AB"/>
    <w:rsid w:val="73B15695"/>
    <w:rsid w:val="7F2F8A85"/>
    <w:rsid w:val="BDFF8F05"/>
    <w:rsid w:val="CFEF222B"/>
    <w:rsid w:val="D4EF7F4C"/>
    <w:rsid w:val="DF6D8489"/>
    <w:rsid w:val="E7F7E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0"/>
    <w:basedOn w:val="1"/>
    <w:next w:val="7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  <w:szCs w:val="24"/>
    </w:rPr>
  </w:style>
  <w:style w:type="paragraph" w:styleId="7">
    <w:name w:val="List Paragraph"/>
    <w:basedOn w:val="1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lenovo</cp:lastModifiedBy>
  <cp:lastPrinted>2020-12-24T14:30:41Z</cp:lastPrinted>
  <dcterms:modified xsi:type="dcterms:W3CDTF">2020-12-31T09:23:02Z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