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contextualSpacing/>
        <w:jc w:val="both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  <w:lang w:val="en-US" w:eastAsia="zh-Hans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1</w:t>
      </w:r>
    </w:p>
    <w:p>
      <w:pPr>
        <w:adjustRightInd w:val="0"/>
        <w:spacing w:line="600" w:lineRule="exact"/>
        <w:contextualSpacing/>
        <w:jc w:val="center"/>
        <w:rPr>
          <w:rFonts w:ascii="楷体" w:hAnsi="楷体" w:eastAsia="楷体"/>
          <w:sz w:val="32"/>
          <w:szCs w:val="48"/>
        </w:rPr>
      </w:pPr>
      <w:r>
        <w:rPr>
          <w:rFonts w:ascii="方正小标宋简体" w:hAnsi="方正小标宋简体" w:eastAsia="方正小标宋简体"/>
          <w:sz w:val="36"/>
          <w:szCs w:val="48"/>
        </w:rPr>
        <w:t>新型储能试点示范</w:t>
      </w:r>
      <w:r>
        <w:rPr>
          <w:rFonts w:hint="eastAsia" w:ascii="方正小标宋简体" w:hAnsi="方正小标宋简体" w:eastAsia="方正小标宋简体"/>
          <w:sz w:val="36"/>
          <w:szCs w:val="48"/>
        </w:rPr>
        <w:t>工作</w:t>
      </w:r>
      <w:r>
        <w:rPr>
          <w:rFonts w:hint="eastAsia" w:ascii="方正小标宋简体" w:hAnsi="方正小标宋简体" w:eastAsia="方正小标宋简体"/>
          <w:sz w:val="36"/>
          <w:szCs w:val="48"/>
          <w:lang w:val="en-US" w:eastAsia="zh-Hans"/>
        </w:rPr>
        <w:t>规则</w:t>
      </w:r>
      <w:r>
        <w:rPr>
          <w:rFonts w:hint="default" w:ascii="方正小标宋简体" w:hAnsi="方正小标宋简体" w:eastAsia="方正小标宋简体"/>
          <w:sz w:val="36"/>
          <w:szCs w:val="48"/>
          <w:lang w:eastAsia="zh-Hans"/>
        </w:rPr>
        <w:t>（</w:t>
      </w:r>
      <w:r>
        <w:rPr>
          <w:rFonts w:hint="eastAsia" w:ascii="方正小标宋简体" w:hAnsi="方正小标宋简体" w:eastAsia="方正小标宋简体"/>
          <w:sz w:val="36"/>
          <w:szCs w:val="48"/>
          <w:lang w:val="en-US" w:eastAsia="zh-Hans"/>
        </w:rPr>
        <w:t>试行</w:t>
      </w:r>
      <w:r>
        <w:rPr>
          <w:rFonts w:hint="default" w:ascii="方正小标宋简体" w:hAnsi="方正小标宋简体" w:eastAsia="方正小标宋简体"/>
          <w:sz w:val="36"/>
          <w:szCs w:val="48"/>
          <w:lang w:eastAsia="zh-Hans"/>
        </w:rPr>
        <w:t>）</w:t>
      </w:r>
    </w:p>
    <w:p>
      <w:pPr>
        <w:adjustRightInd w:val="0"/>
        <w:spacing w:line="600" w:lineRule="exact"/>
        <w:contextualSpacing/>
        <w:jc w:val="center"/>
        <w:rPr>
          <w:rFonts w:ascii="方正小标宋简体" w:hAnsi="方正小标宋简体" w:eastAsia="方正小标宋简体"/>
          <w:sz w:val="36"/>
          <w:szCs w:val="48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为推动新型储能多元化、产业化、市场化高质量发展，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据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中华人民共和国经济和社会发展第十四个五年规划和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2035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年远景目标纲要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2"/>
          <w:szCs w:val="30"/>
        </w:rPr>
        <w:t>《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“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十四五”新型储能发展</w:t>
      </w:r>
      <w:r>
        <w:rPr>
          <w:rFonts w:hint="eastAsia" w:ascii="仿宋_GB2312" w:hAnsi="仿宋_GB2312" w:eastAsia="仿宋_GB2312" w:cs="仿宋_GB2312"/>
          <w:sz w:val="32"/>
          <w:szCs w:val="30"/>
        </w:rPr>
        <w:t>实施方案》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，科学有序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实施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新型储能试点示范项目（以下简称示范项目），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按照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国家能源局技术示范和改革试点工作管理办法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》，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制定本规则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本规则适用于国家能源局组织开展的</w:t>
      </w:r>
      <w:r>
        <w:rPr>
          <w:rFonts w:hint="eastAsia" w:ascii="仿宋_GB2312" w:hAnsi="仿宋_GB2312" w:eastAsia="仿宋_GB2312" w:cs="仿宋_GB2312"/>
          <w:sz w:val="32"/>
          <w:szCs w:val="30"/>
        </w:rPr>
        <w:t>新型储能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技术和应用场景</w:t>
      </w:r>
      <w:r>
        <w:rPr>
          <w:rFonts w:hint="eastAsia" w:ascii="仿宋_GB2312" w:hAnsi="仿宋_GB2312" w:eastAsia="仿宋_GB2312" w:cs="仿宋_GB2312"/>
          <w:sz w:val="32"/>
          <w:szCs w:val="30"/>
        </w:rPr>
        <w:t>试点示范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工作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各省级能源主管部门推进本地区新型储能试点示范工作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可结合本地情况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参照本规则组织实施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本规则所指新型储能项目是指除抽水蓄能外以输出电力为主要形式，并对外提供服务的储能项目。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示范项目申报、遴选和跟踪评估应坚持政府引导、企业自愿，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多元发展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、重点突破，示范带动、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规模发展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，科学评价、注重成效的原则。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示范项目申报主体原则上为项目业主单位。确需联合申报的，应说明必要性和具体分工。参与申报的单位应为中华人民共和国境内注册，具有独立法人资格、无不良信用记录的企业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,并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较强的经济实力、技术研发和融合创新能力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申报项目应具备技术先进性、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商业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模式创新性、安全可靠性、应用场景代表性、示范带动性等特点。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示范项目工作流程主要包括：发布通知、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申报、专家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评审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审议决策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公示公告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总结推广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，共</w:t>
      </w:r>
      <w:r>
        <w:rPr>
          <w:rFonts w:hint="default" w:ascii="仿宋_GB2312" w:hAnsi="仿宋_GB2312" w:eastAsia="仿宋_GB2312" w:cs="仿宋_GB2312"/>
          <w:sz w:val="32"/>
          <w:szCs w:val="30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个环节。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0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发布通知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国家能源局在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网站发布通知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启动申报工作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，明确示范项目申报有关具体要求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0"/>
        </w:rPr>
        <w:t>（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0"/>
        </w:rPr>
        <w:t>）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组织申报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省级能源主管部门应结合本地区实际，组织示范项目申报、初步审核、推荐等工作，并出具书面推荐意见。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中央企业集团下属单位经各省级能源主管部门申报的，应附所属中央企业集团书面支持意见函件。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中央企业集团可直接向国家能源局推荐示范项目。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0"/>
        </w:rPr>
      </w:pPr>
      <w:r>
        <w:rPr>
          <w:rFonts w:hint="eastAsia" w:ascii="楷体_GB2312" w:hAnsi="楷体_GB2312" w:eastAsia="楷体_GB2312" w:cs="楷体_GB2312"/>
          <w:sz w:val="32"/>
          <w:szCs w:val="30"/>
        </w:rPr>
        <w:t>（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0"/>
        </w:rPr>
        <w:t>）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专家</w:t>
      </w:r>
      <w:r>
        <w:rPr>
          <w:rFonts w:hint="eastAsia" w:ascii="楷体_GB2312" w:hAnsi="楷体_GB2312" w:eastAsia="楷体_GB2312" w:cs="楷体_GB2312"/>
          <w:sz w:val="32"/>
          <w:szCs w:val="30"/>
        </w:rPr>
        <w:t>评审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国家能源局委托第三方机构组织开展示范项目评审工作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资料初审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专家评审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会审查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，形成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评审意见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并上报国家能源局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视需要组织企业答辩或实地考察。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示范项目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评审专家要求具有高级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以上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职称，且从事相关领域技术工作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4年。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评审专家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要涵盖所评审项目相关专业方向，专家组人数不少于7人。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评审专家与所评审项目申报单位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含联合单位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不得存在经济利益关系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0"/>
        </w:rPr>
      </w:pPr>
      <w:r>
        <w:rPr>
          <w:rFonts w:hint="eastAsia" w:ascii="楷体_GB2312" w:hAnsi="楷体_GB2312" w:eastAsia="楷体_GB2312" w:cs="楷体_GB2312"/>
          <w:sz w:val="32"/>
          <w:szCs w:val="30"/>
        </w:rPr>
        <w:t>（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0"/>
        </w:rPr>
        <w:t>）审议决策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国家能源局根据第三方机构评审意见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结合行业规划、产业政策等有关文件要求，审核确定示范项目入围名单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0"/>
        </w:rPr>
        <w:t>（</w:t>
      </w:r>
      <w:r>
        <w:rPr>
          <w:rFonts w:hint="eastAsia" w:ascii="楷体_GB2312" w:hAnsi="楷体_GB2312" w:eastAsia="楷体_GB2312" w:cs="楷体_GB2312"/>
          <w:sz w:val="32"/>
          <w:szCs w:val="30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0"/>
        </w:rPr>
        <w:t>）</w:t>
      </w:r>
      <w:r>
        <w:rPr>
          <w:rFonts w:hint="eastAsia" w:ascii="楷体_GB2312" w:hAnsi="楷体_GB2312" w:eastAsia="楷体_GB2312" w:cs="楷体_GB2312"/>
          <w:sz w:val="32"/>
          <w:szCs w:val="30"/>
          <w:lang w:eastAsia="zh-CN"/>
        </w:rPr>
        <w:t>公示</w:t>
      </w:r>
      <w:r>
        <w:rPr>
          <w:rFonts w:hint="eastAsia" w:ascii="楷体_GB2312" w:hAnsi="楷体_GB2312" w:eastAsia="楷体_GB2312" w:cs="楷体_GB2312"/>
          <w:sz w:val="32"/>
          <w:szCs w:val="30"/>
          <w:lang w:val="en-US" w:eastAsia="zh-Hans"/>
        </w:rPr>
        <w:t>公告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国家能源局在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网站发布示范项目入围名单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，公示时长不少于7天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公示结束后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国家能源局以公告形式发布示范项目清单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0"/>
        </w:rPr>
        <w:t>（</w:t>
      </w:r>
      <w:r>
        <w:rPr>
          <w:rFonts w:hint="eastAsia" w:ascii="楷体_GB2312" w:hAnsi="楷体_GB2312" w:eastAsia="楷体_GB2312" w:cs="楷体_GB2312"/>
          <w:sz w:val="32"/>
          <w:szCs w:val="30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0"/>
        </w:rPr>
        <w:t>）</w:t>
      </w:r>
      <w:r>
        <w:rPr>
          <w:rFonts w:hint="eastAsia" w:ascii="楷体" w:hAnsi="楷体" w:eastAsia="楷体"/>
          <w:sz w:val="32"/>
          <w:szCs w:val="30"/>
        </w:rPr>
        <w:t>总结推广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示范期间及示范期满后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国家能源局委托第三方组织开展示范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应用效果评估评价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</w:rPr>
        <w:t>对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示范项目中的</w:t>
      </w:r>
      <w:r>
        <w:rPr>
          <w:rFonts w:hint="eastAsia" w:ascii="仿宋_GB2312" w:hAnsi="仿宋_GB2312" w:eastAsia="仿宋_GB2312" w:cs="仿宋_GB2312"/>
          <w:sz w:val="32"/>
          <w:szCs w:val="30"/>
        </w:rPr>
        <w:t>先进可靠、应用前景广阔的技术和商业模式</w:t>
      </w:r>
      <w:r>
        <w:rPr>
          <w:rFonts w:hint="default" w:ascii="仿宋_GB2312" w:hAnsi="仿宋_GB2312" w:eastAsia="仿宋_GB2312" w:cs="仿宋_GB2312"/>
          <w:sz w:val="32"/>
          <w:szCs w:val="30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标准规范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以及各地产生较好成效的政策举措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加大</w:t>
      </w:r>
      <w:r>
        <w:rPr>
          <w:rFonts w:hint="eastAsia" w:ascii="仿宋_GB2312" w:hAnsi="仿宋_GB2312" w:eastAsia="仿宋_GB2312" w:cs="仿宋_GB2312"/>
          <w:sz w:val="32"/>
          <w:szCs w:val="30"/>
        </w:rPr>
        <w:t>经验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总结和宣传</w:t>
      </w:r>
      <w:r>
        <w:rPr>
          <w:rFonts w:hint="eastAsia" w:ascii="仿宋_GB2312" w:hAnsi="仿宋_GB2312" w:eastAsia="仿宋_GB2312" w:cs="仿宋_GB2312"/>
          <w:sz w:val="32"/>
          <w:szCs w:val="30"/>
        </w:rPr>
        <w:t>推广。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示范期限原则上为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2年。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示范项目需在发布公告之日起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1年内投产。如遇特殊情况，经报国家能源局同意，示范期和投产日期可延长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将示范项目纳入全国新型储能大数据平台，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开展示范项目</w:t>
      </w:r>
      <w:r>
        <w:rPr>
          <w:rFonts w:hint="eastAsia" w:ascii="仿宋_GB2312" w:hAnsi="仿宋_GB2312" w:eastAsia="仿宋_GB2312" w:cs="仿宋_GB2312"/>
          <w:sz w:val="32"/>
          <w:szCs w:val="30"/>
        </w:rPr>
        <w:t>建设运行情况跟踪监测，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并做好示范项目实施情况评估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总结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能源主管部门要加强示范项目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协调解决项目面临的问题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完善新型储能项目管理体系和支持政策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申报单位应遵守新型储能项目管理相关制度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按程序取得项目开工建设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并网运行等相关手续</w:t>
      </w:r>
      <w:r>
        <w:rPr>
          <w:rFonts w:hint="default" w:ascii="仿宋_GB2312" w:hAnsi="仿宋_GB2312" w:eastAsia="仿宋_GB2312" w:cs="仿宋_GB2312"/>
          <w:sz w:val="32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扎实推进示范项目建设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加强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运行维护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及时向国家能源局报告项目建设运行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标准化等工作情况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国家能源局派出机构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要结合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监管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工作安排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加强示范项目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情况监管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会同各地能源主管部门</w:t>
      </w:r>
      <w:r>
        <w:rPr>
          <w:rFonts w:hint="eastAsia" w:ascii="仿宋_GB2312" w:hAnsi="仿宋_GB2312" w:eastAsia="仿宋_GB2312" w:cs="仿宋_GB2312"/>
          <w:sz w:val="32"/>
          <w:szCs w:val="30"/>
        </w:rPr>
        <w:t>协调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解决</w:t>
      </w:r>
      <w:r>
        <w:rPr>
          <w:rFonts w:hint="eastAsia" w:ascii="仿宋_GB2312" w:hAnsi="仿宋_GB2312" w:eastAsia="仿宋_GB2312" w:cs="仿宋_GB2312"/>
          <w:sz w:val="32"/>
          <w:szCs w:val="30"/>
        </w:rPr>
        <w:t>示范项目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中面临</w:t>
      </w:r>
      <w:r>
        <w:rPr>
          <w:rFonts w:hint="eastAsia" w:ascii="仿宋_GB2312" w:hAnsi="仿宋_GB2312" w:eastAsia="仿宋_GB2312" w:cs="仿宋_GB2312"/>
          <w:sz w:val="32"/>
          <w:szCs w:val="30"/>
        </w:rPr>
        <w:t>的问题，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并将相关结果</w:t>
      </w:r>
      <w:r>
        <w:rPr>
          <w:rFonts w:hint="eastAsia" w:ascii="仿宋_GB2312" w:hAnsi="仿宋_GB2312" w:eastAsia="仿宋_GB2312" w:cs="仿宋_GB2312"/>
          <w:sz w:val="32"/>
          <w:szCs w:val="30"/>
        </w:rPr>
        <w:t>报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送</w:t>
      </w:r>
      <w:r>
        <w:rPr>
          <w:rFonts w:hint="eastAsia" w:ascii="仿宋_GB2312" w:hAnsi="仿宋_GB2312" w:eastAsia="仿宋_GB2312" w:cs="仿宋_GB2312"/>
          <w:sz w:val="32"/>
          <w:szCs w:val="30"/>
        </w:rPr>
        <w:t>国家能源局。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对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上报资料存在弄虚作假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</w:rPr>
        <w:t>未按示范内容建设、出现重大安全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责任</w:t>
      </w:r>
      <w:r>
        <w:rPr>
          <w:rFonts w:hint="eastAsia" w:ascii="仿宋_GB2312" w:hAnsi="仿宋_GB2312" w:eastAsia="仿宋_GB2312" w:cs="仿宋_GB2312"/>
          <w:sz w:val="32"/>
          <w:szCs w:val="30"/>
        </w:rPr>
        <w:t>事故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或存在其他违反示范要求的</w:t>
      </w:r>
      <w:r>
        <w:rPr>
          <w:rFonts w:hint="eastAsia" w:ascii="仿宋_GB2312" w:hAnsi="仿宋_GB2312" w:eastAsia="仿宋_GB2312" w:cs="仿宋_GB2312"/>
          <w:sz w:val="32"/>
          <w:szCs w:val="30"/>
        </w:rPr>
        <w:t>项目，取消示范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0"/>
        </w:rPr>
        <w:t>资格。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国家能源局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通过将示范项目纳入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国家有关重大工程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项目库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等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协调解决示范项目面临的重大问题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支持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依托示范项目产生的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相关标准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符合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首台（套）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条件的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重大技术装备，经按程序评定</w:t>
      </w:r>
      <w:r>
        <w:rPr>
          <w:rFonts w:hint="default" w:ascii="仿宋_GB2312" w:hAnsi="仿宋_GB2312" w:eastAsia="仿宋_GB2312" w:cs="仿宋_GB2312"/>
          <w:sz w:val="32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优先纳入行业标准制修订计划</w:t>
      </w:r>
      <w:r>
        <w:rPr>
          <w:rFonts w:hint="default" w:ascii="仿宋_GB2312" w:hAnsi="仿宋_GB2312" w:eastAsia="仿宋_GB2312" w:cs="仿宋_GB2312"/>
          <w:sz w:val="3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能源领域首台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套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技术装备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清单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优先推荐参加相关科技创新</w:t>
      </w:r>
      <w:r>
        <w:rPr>
          <w:rFonts w:hint="default" w:ascii="仿宋_GB2312" w:hAnsi="仿宋_GB2312" w:eastAsia="仿宋_GB2312" w:cs="仿宋_GB2312"/>
          <w:sz w:val="32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标准等奖励评选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并享受相关支持政策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各地能源主管部门会同有关方面围绕项目成本疏导、调度运行、安全管理等方面，加大示范项目专项政策研究与支持力度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鼓励通过专项资金等政策支持示范项目。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能源主管部门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Hans"/>
        </w:rPr>
        <w:t>要统筹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做好国家及本地区新型储能试点示范工作，并与本地区新型储能发展工作有机结合，发挥好示范引领作用</w:t>
      </w:r>
      <w:r>
        <w:rPr>
          <w:rFonts w:hint="eastAsia" w:ascii="仿宋_GB2312" w:hAnsi="仿宋_GB2312" w:eastAsia="仿宋_GB2312" w:cs="仿宋_GB2312"/>
          <w:sz w:val="32"/>
          <w:szCs w:val="30"/>
          <w:lang w:eastAsia="zh-Hans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本规则由国家能源局负责解释。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本规则自发布之日起施行。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E2E12"/>
    <w:multiLevelType w:val="singleLevel"/>
    <w:tmpl w:val="77FE2E12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48E54059"/>
    <w:rsid w:val="48E5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2023-06-16T09:35:00Z</dcterms:created>
  <dc:creator>小笨</dc:creator>
  <cp:lastModifiedBy>小笨</cp:lastModifiedBy>
  <dcterms:modified xsi:type="dcterms:W3CDTF">2023-06-16T09:36:11Z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78F890EB90EC460EA6E2C2DAE36E9E21_11</vt:lpwstr>
  </property>
</Properties>
</file>