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40" w:leftChars="-67" w:hanging="281" w:hangingChars="88"/>
        <w:outlineLvl w:val="1"/>
        <w:rPr>
          <w:rFonts w:hint="eastAsia" w:ascii="黑体" w:hAnsi="黑体" w:eastAsia="黑体" w:cs="黑体"/>
          <w:sz w:val="32"/>
          <w:szCs w:val="44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44"/>
          <w:lang w:val="en-US" w:eastAsia="zh-Hans"/>
        </w:rPr>
        <w:t>附件3</w:t>
      </w:r>
    </w:p>
    <w:p>
      <w:pPr>
        <w:spacing w:line="600" w:lineRule="exact"/>
        <w:ind w:left="0" w:leftChars="0" w:firstLine="0" w:firstLineChars="0"/>
        <w:jc w:val="center"/>
        <w:outlineLvl w:val="1"/>
        <w:rPr>
          <w:rFonts w:ascii="方正小标宋简体" w:hAnsi="黑体" w:eastAsia="方正小标宋简体" w:cs="华文中宋"/>
          <w:color w:val="000000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华文中宋"/>
          <w:color w:val="000000"/>
          <w:kern w:val="0"/>
          <w:sz w:val="32"/>
          <w:szCs w:val="32"/>
        </w:rPr>
        <w:t>新型储能示范项目申请报告</w:t>
      </w:r>
      <w:r>
        <w:rPr>
          <w:rFonts w:hint="default" w:ascii="方正小标宋简体" w:hAnsi="黑体" w:eastAsia="方正小标宋简体" w:cs="华文中宋"/>
          <w:color w:val="000000"/>
          <w:kern w:val="0"/>
          <w:sz w:val="32"/>
          <w:szCs w:val="32"/>
        </w:rPr>
        <w:t>（</w:t>
      </w:r>
      <w:r>
        <w:rPr>
          <w:rFonts w:hint="eastAsia" w:ascii="方正小标宋简体" w:hAnsi="黑体" w:eastAsia="方正小标宋简体" w:cs="华文中宋"/>
          <w:color w:val="000000"/>
          <w:kern w:val="0"/>
          <w:sz w:val="32"/>
          <w:szCs w:val="32"/>
        </w:rPr>
        <w:t>参考大纲</w:t>
      </w:r>
      <w:r>
        <w:rPr>
          <w:rFonts w:hint="default" w:ascii="方正小标宋简体" w:hAnsi="黑体" w:eastAsia="方正小标宋简体" w:cs="华文中宋"/>
          <w:color w:val="00000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6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黑体" w:cs="Times New Roman"/>
          <w:color w:val="000000"/>
          <w:sz w:val="30"/>
          <w:szCs w:val="30"/>
        </w:rPr>
      </w:pPr>
      <w:bookmarkStart w:id="0" w:name="_Toc330734460"/>
      <w:bookmarkStart w:id="1" w:name="_Toc408995985"/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一、项目概况</w:t>
      </w:r>
      <w:bookmarkEnd w:id="0"/>
      <w:bookmarkEnd w:id="1"/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项目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概述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建设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背景与必要性分析，以及前期工作进展情况，如技术研发验证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工程建设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本企业项目投资决策情况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以及获得规划、国土、环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保等部门审批情况。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项目业主各投资方、主营业务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成立年限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新型储能项目建设运行经验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新型储能相关创新投入与标准化工作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业绩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以及资质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等。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黑体" w:cs="Times New Roman"/>
          <w:color w:val="000000"/>
          <w:sz w:val="30"/>
          <w:szCs w:val="30"/>
        </w:rPr>
      </w:pPr>
      <w:bookmarkStart w:id="2" w:name="_Toc408995988"/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、项目初步方案</w:t>
      </w:r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hint="eastAsia" w:ascii="楷体" w:hAnsi="楷体" w:eastAsia="楷体" w:cs="Times New Roman"/>
          <w:b/>
          <w:color w:val="000000"/>
          <w:sz w:val="30"/>
          <w:szCs w:val="30"/>
        </w:rPr>
      </w:pPr>
      <w:r>
        <w:rPr>
          <w:rFonts w:hint="eastAsia" w:ascii="楷体" w:hAnsi="楷体" w:eastAsia="楷体" w:cs="Times New Roman"/>
          <w:b/>
          <w:color w:val="000000"/>
          <w:sz w:val="30"/>
          <w:szCs w:val="30"/>
        </w:rPr>
        <w:t>（一）</w:t>
      </w:r>
      <w:r>
        <w:rPr>
          <w:rFonts w:hint="eastAsia" w:ascii="楷体" w:hAnsi="楷体" w:eastAsia="楷体" w:cs="仿宋_GB2312"/>
          <w:b/>
          <w:color w:val="000000"/>
          <w:sz w:val="30"/>
          <w:szCs w:val="30"/>
          <w:lang w:val="en-US" w:eastAsia="zh-Hans"/>
        </w:rPr>
        <w:t>应用场景及预期运行模式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说明应用场景的特点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储能系统发挥的主要作用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调度运行方式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以及预期利用指标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如利用率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效率等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。</w:t>
      </w:r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ascii="楷体" w:hAnsi="楷体" w:eastAsia="楷体" w:cs="Times New Roman"/>
          <w:b/>
          <w:color w:val="000000"/>
          <w:sz w:val="30"/>
          <w:szCs w:val="30"/>
        </w:rPr>
      </w:pPr>
      <w:r>
        <w:rPr>
          <w:rFonts w:hint="eastAsia" w:ascii="楷体" w:hAnsi="楷体" w:eastAsia="楷体" w:cs="Times New Roman"/>
          <w:b/>
          <w:color w:val="000000"/>
          <w:sz w:val="30"/>
          <w:szCs w:val="30"/>
        </w:rPr>
        <w:t>（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  <w:lang w:val="en-US" w:eastAsia="zh-Hans"/>
        </w:rPr>
        <w:t>二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</w:rPr>
        <w:t>）技术方案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说明本项目储能系统的基本构成，</w:t>
      </w:r>
      <w:bookmarkStart w:id="3" w:name="_Toc333333223"/>
      <w:bookmarkStart w:id="4" w:name="_Toc331750275"/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关键技术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设备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及系统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性能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通过与国内外同类技术装备关键指标对比分析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说明技术产品与系统集成创新情况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说明项目采用自主知识产权原创技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术情况及知识产权归属状况。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default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说明已列入有关首（台）套重大技术装备目录情况，以及是否符合条件被推荐至能源领域首（台）套重大技术装备目录有关情况。</w:t>
      </w:r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ascii="楷体" w:hAnsi="楷体" w:eastAsia="楷体" w:cs="Times New Roman"/>
          <w:b/>
          <w:color w:val="000000"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  <w:lang w:val="en-US" w:eastAsia="zh-Hans"/>
        </w:rPr>
        <w:t>三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</w:rPr>
        <w:t>）工程建设方案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val="en-US" w:eastAsia="zh-CN"/>
        </w:rPr>
        <w:t>说明项目</w:t>
      </w:r>
      <w:r>
        <w:rPr>
          <w:rFonts w:ascii="Times New Roman" w:hAnsi="Times New Roman" w:eastAsia="仿宋_GB2312" w:cs="仿宋_GB2312"/>
          <w:color w:val="000000"/>
          <w:sz w:val="30"/>
          <w:szCs w:val="30"/>
          <w:highlight w:val="none"/>
        </w:rPr>
        <w:t>建设条件、建设规模、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val="en-US" w:eastAsia="zh-CN"/>
        </w:rPr>
        <w:t>布置方式、</w:t>
      </w:r>
      <w:r>
        <w:rPr>
          <w:rFonts w:ascii="Times New Roman" w:hAnsi="Times New Roman" w:eastAsia="仿宋_GB2312" w:cs="仿宋_GB2312"/>
          <w:color w:val="000000"/>
          <w:sz w:val="30"/>
          <w:szCs w:val="30"/>
          <w:highlight w:val="none"/>
        </w:rPr>
        <w:t>接入方案、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val="en-US" w:eastAsia="zh-Hans"/>
        </w:rPr>
        <w:t>进度安排</w:t>
      </w:r>
      <w:r>
        <w:rPr>
          <w:rFonts w:ascii="Times New Roman" w:hAnsi="Times New Roman" w:eastAsia="仿宋_GB2312" w:cs="仿宋_GB2312"/>
          <w:color w:val="000000"/>
          <w:sz w:val="30"/>
          <w:szCs w:val="30"/>
          <w:highlight w:val="none"/>
        </w:rPr>
        <w:t>等。</w:t>
      </w:r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ascii="楷体" w:hAnsi="楷体" w:eastAsia="楷体" w:cs="Times New Roman"/>
          <w:b/>
          <w:color w:val="000000"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  <w:lang w:val="en-US" w:eastAsia="zh-Hans"/>
        </w:rPr>
        <w:t>四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</w:rPr>
        <w:t>）示范项目运行方案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val="en-US" w:eastAsia="zh-CN"/>
        </w:rPr>
        <w:t>针对项目</w:t>
      </w:r>
      <w:r>
        <w:rPr>
          <w:rFonts w:ascii="Times New Roman" w:hAnsi="Times New Roman" w:eastAsia="仿宋_GB2312" w:cs="仿宋_GB2312"/>
          <w:color w:val="000000"/>
          <w:sz w:val="30"/>
          <w:szCs w:val="30"/>
          <w:highlight w:val="none"/>
        </w:rPr>
        <w:t>应用场景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val="en-US" w:eastAsia="zh-CN"/>
        </w:rPr>
        <w:t>说明项目</w:t>
      </w:r>
      <w:r>
        <w:rPr>
          <w:rFonts w:ascii="Times New Roman" w:hAnsi="Times New Roman" w:eastAsia="仿宋_GB2312" w:cs="仿宋_GB2312"/>
          <w:color w:val="000000"/>
          <w:sz w:val="30"/>
          <w:szCs w:val="30"/>
          <w:highlight w:val="none"/>
        </w:rPr>
        <w:t>运行方式、调度方式等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val="en-US" w:eastAsia="zh-CN"/>
        </w:rPr>
        <w:t>分析与系统交换的年电量、运行小时数等指标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highlight w:val="none"/>
        </w:rPr>
        <w:t>分析项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目与场景应用的匹配性。</w:t>
      </w:r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  <w:lang w:val="en-US" w:eastAsia="zh-Hans"/>
        </w:rPr>
      </w:pPr>
      <w:r>
        <w:rPr>
          <w:rFonts w:hint="default" w:ascii="楷体" w:hAnsi="楷体" w:eastAsia="楷体" w:cs="Times New Roman"/>
          <w:b/>
          <w:color w:val="000000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  <w:lang w:val="en-US" w:eastAsia="zh-Hans"/>
        </w:rPr>
        <w:t>五</w:t>
      </w:r>
      <w:r>
        <w:rPr>
          <w:rFonts w:hint="default" w:ascii="楷体" w:hAnsi="楷体" w:eastAsia="楷体" w:cs="Times New Roman"/>
          <w:b/>
          <w:color w:val="000000"/>
          <w:sz w:val="30"/>
          <w:szCs w:val="30"/>
          <w:highlight w:val="none"/>
          <w:lang w:eastAsia="zh-Hans"/>
        </w:rPr>
        <w:t>）</w:t>
      </w:r>
      <w:r>
        <w:rPr>
          <w:rFonts w:hint="eastAsia" w:ascii="楷体" w:hAnsi="楷体" w:eastAsia="楷体" w:cs="Times New Roman"/>
          <w:b/>
          <w:color w:val="000000"/>
          <w:sz w:val="30"/>
          <w:szCs w:val="30"/>
          <w:highlight w:val="none"/>
          <w:lang w:val="en-US" w:eastAsia="zh-Hans"/>
        </w:rPr>
        <w:t>标准化工作方案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说明依托示范项目参与国家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行业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团体和地方标准制修订工作有关情况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。</w:t>
      </w:r>
      <w:bookmarkEnd w:id="3"/>
      <w:bookmarkEnd w:id="4"/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Hans"/>
        </w:rPr>
        <w:t>项目经济性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说明主要商业模式及先进性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简要分析未来推广应用前景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说明经济性评价相关边界条件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可享受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地方政府相关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政策情况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包括但不限于项目属地电价政策、财政补贴、税收优惠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电力辅助服务和现货市场建设相关机制等。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说明储能系统投资和项目总投资等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投资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投资回收期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内部收益率等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以及投产首年及达产年预期运行成本收益情况。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、项目</w:t>
      </w:r>
      <w:r>
        <w:rPr>
          <w:rFonts w:hint="eastAsia" w:ascii="Times New Roman" w:hAnsi="Times New Roman" w:eastAsia="黑体" w:cs="黑体"/>
          <w:color w:val="000000"/>
          <w:sz w:val="30"/>
          <w:szCs w:val="30"/>
          <w:lang w:eastAsia="zh-CN"/>
        </w:rPr>
        <w:t>质量与安全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仿宋_GB2312" w:cs="黑体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简要说明本项目质量与安全控制方案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先进性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Hans"/>
        </w:rPr>
        <w:t>及关键指标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eastAsia="zh-Hans"/>
        </w:rPr>
        <w:t>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黑体" w:cs="黑体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、项目</w:t>
      </w:r>
      <w:r>
        <w:rPr>
          <w:rFonts w:hint="eastAsia" w:ascii="Times New Roman" w:hAnsi="Times New Roman" w:eastAsia="黑体" w:cs="黑体"/>
          <w:color w:val="000000"/>
          <w:sz w:val="30"/>
          <w:szCs w:val="30"/>
          <w:lang w:eastAsia="zh-CN"/>
        </w:rPr>
        <w:t>工作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计划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Hans"/>
        </w:rPr>
        <w:t>项目建设起止时间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Hans"/>
        </w:rPr>
        <w:t>预计投产日期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Hans"/>
        </w:rPr>
        <w:t>及分年度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Hans"/>
        </w:rPr>
        <w:t>安排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Hans"/>
        </w:rPr>
        <w:t>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、综合效益评价</w:t>
      </w:r>
      <w:bookmarkEnd w:id="2"/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ascii="楷体" w:hAnsi="楷体" w:eastAsia="楷体" w:cs="Times New Roman"/>
          <w:b/>
          <w:color w:val="000000"/>
          <w:sz w:val="30"/>
          <w:szCs w:val="30"/>
        </w:rPr>
      </w:pPr>
      <w:r>
        <w:rPr>
          <w:rFonts w:hint="eastAsia" w:ascii="楷体" w:hAnsi="楷体" w:eastAsia="楷体" w:cs="Times New Roman"/>
          <w:b/>
          <w:color w:val="000000"/>
          <w:sz w:val="30"/>
          <w:szCs w:val="30"/>
        </w:rPr>
        <w:t>（一）示范效应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在说明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示范项目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对验证关键技术稳定可靠运行的同时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在促进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清洁能源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开发消纳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支撑电力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系统运行、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提高能源利用效率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降低用能成本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保障用能安全等方面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的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示范效果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以及对产业链体系发展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政策机制健全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专业化人才培养等方面的带动作用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简要分析关键技术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商业模式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应用场景等方面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创新成果推广应用前景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</w:rPr>
        <w:t>。</w:t>
      </w:r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ascii="楷体" w:hAnsi="楷体" w:eastAsia="楷体" w:cs="Times New Roman"/>
          <w:b/>
          <w:color w:val="000000"/>
          <w:sz w:val="30"/>
          <w:szCs w:val="30"/>
        </w:rPr>
      </w:pPr>
      <w:r>
        <w:rPr>
          <w:rFonts w:hint="eastAsia" w:ascii="楷体" w:hAnsi="楷体" w:eastAsia="楷体" w:cs="Times New Roman"/>
          <w:b/>
          <w:color w:val="000000"/>
          <w:sz w:val="30"/>
          <w:szCs w:val="30"/>
        </w:rPr>
        <w:t>（二）环境效益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分析评价项目建设对促进自然生态发展方面的效果及影响。</w:t>
      </w:r>
    </w:p>
    <w:p>
      <w:pPr>
        <w:pStyle w:val="4"/>
        <w:widowControl w:val="0"/>
        <w:spacing w:before="0" w:after="0" w:line="600" w:lineRule="exact"/>
        <w:ind w:left="0" w:firstLine="602" w:firstLineChars="200"/>
        <w:rPr>
          <w:rFonts w:ascii="楷体" w:hAnsi="楷体" w:eastAsia="楷体" w:cs="Times New Roman"/>
          <w:b/>
          <w:color w:val="000000"/>
          <w:sz w:val="30"/>
          <w:szCs w:val="30"/>
        </w:rPr>
      </w:pPr>
      <w:r>
        <w:rPr>
          <w:rFonts w:hint="eastAsia" w:ascii="楷体" w:hAnsi="楷体" w:eastAsia="楷体" w:cs="Times New Roman"/>
          <w:b/>
          <w:color w:val="000000"/>
          <w:sz w:val="30"/>
          <w:szCs w:val="30"/>
        </w:rPr>
        <w:t>（三）社会效益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分析评价项目建设对促进行业和地方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经济社会发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展方面的现实和长远影响。</w:t>
      </w:r>
      <w:bookmarkStart w:id="5" w:name="_Toc408996001"/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黑体" w:cs="黑体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Hans"/>
        </w:rPr>
        <w:t>七</w:t>
      </w:r>
      <w:r>
        <w:rPr>
          <w:rFonts w:hint="default" w:ascii="Times New Roman" w:hAnsi="Times New Roman" w:eastAsia="黑体" w:cs="黑体"/>
          <w:color w:val="000000"/>
          <w:sz w:val="30"/>
          <w:szCs w:val="30"/>
          <w:lang w:eastAsia="zh-Hans"/>
        </w:rPr>
        <w:t>、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风险</w:t>
      </w: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Hans"/>
        </w:rPr>
        <w:t>评估与应对举措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分析说明示范项目在政策、环境、市场、经济、技术、施工等方面存在的潜在风险</w:t>
      </w:r>
      <w:r>
        <w:rPr>
          <w:rFonts w:hint="default" w:ascii="Times New Roman" w:hAnsi="Times New Roman" w:eastAsia="仿宋_GB2312" w:cs="仿宋_GB2312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提出拟采取的应对措施或其它试点示范工作建议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。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  <w:lang w:val="en-US" w:eastAsia="zh-Hans"/>
        </w:rPr>
        <w:t>八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、</w:t>
      </w:r>
      <w:bookmarkEnd w:id="5"/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附录</w:t>
      </w:r>
    </w:p>
    <w:p>
      <w:pPr>
        <w:pStyle w:val="4"/>
        <w:widowControl w:val="0"/>
        <w:spacing w:before="0" w:after="0" w:line="600" w:lineRule="exact"/>
        <w:ind w:left="0" w:firstLine="600" w:firstLineChars="200"/>
        <w:rPr>
          <w:rFonts w:ascii="仿宋" w:hAnsi="仿宋" w:eastAsia="仿宋"/>
          <w:sz w:val="32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已获得规划、国土、环保等部门审批情况的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材料，及有必要提交的其他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Hans"/>
        </w:rPr>
        <w:t>支撑性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材料。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mUyMzM2ZTY2MjQyYzY5N2RlZjdlNDRkYzViODUifQ=="/>
  </w:docVars>
  <w:rsids>
    <w:rsidRoot w:val="3FAB5239"/>
    <w:rsid w:val="3FAB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3"/>
    <w:basedOn w:val="1"/>
    <w:qFormat/>
    <w:uiPriority w:val="99"/>
    <w:pPr>
      <w:widowControl/>
      <w:spacing w:before="120" w:after="120" w:line="360" w:lineRule="auto"/>
      <w:ind w:left="720"/>
    </w:pPr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2023-06-16T09:37:00Z</dcterms:created>
  <dc:creator>小笨</dc:creator>
  <cp:lastModifiedBy>小笨</cp:lastModifiedBy>
  <dcterms:modified xsi:type="dcterms:W3CDTF">2023-06-16T09:37:30Z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B7FF899226CD465AA893D2B4FFFA4592_11</vt:lpwstr>
  </property>
</Properties>
</file>