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A0A66">
      <w:pPr>
        <w:jc w:val="left"/>
        <w:rPr>
          <w:rFonts w:ascii="黑体" w:hAnsi="Times New Roman" w:eastAsia="黑体" w:cs="Calibri"/>
          <w:kern w:val="0"/>
          <w:sz w:val="32"/>
          <w:szCs w:val="32"/>
        </w:rPr>
      </w:pPr>
      <w:r>
        <w:rPr>
          <w:rFonts w:hint="eastAsia" w:ascii="黑体" w:hAnsi="Times New Roman" w:eastAsia="黑体" w:cs="Calibri"/>
          <w:kern w:val="0"/>
          <w:sz w:val="32"/>
          <w:szCs w:val="32"/>
        </w:rPr>
        <w:t>附件</w:t>
      </w:r>
      <w:r>
        <w:rPr>
          <w:rFonts w:ascii="黑体" w:hAnsi="Times New Roman" w:eastAsia="黑体" w:cs="Calibri"/>
          <w:kern w:val="0"/>
          <w:sz w:val="32"/>
          <w:szCs w:val="32"/>
        </w:rPr>
        <w:t>1</w:t>
      </w:r>
    </w:p>
    <w:p w14:paraId="06F02207">
      <w:pPr>
        <w:spacing w:beforeLines="100" w:afterLines="100"/>
        <w:jc w:val="center"/>
        <w:rPr>
          <w:rFonts w:ascii="方正小标宋简体" w:hAnsi="Times New Roman" w:eastAsia="方正小标宋简体" w:cs="Calibri"/>
          <w:kern w:val="0"/>
          <w:sz w:val="36"/>
          <w:szCs w:val="32"/>
        </w:rPr>
      </w:pPr>
      <w:r>
        <w:rPr>
          <w:rFonts w:hint="eastAsia" w:ascii="方正小标宋简体" w:hAnsi="Times New Roman" w:eastAsia="方正小标宋简体" w:cs="Calibri"/>
          <w:kern w:val="0"/>
          <w:sz w:val="36"/>
          <w:szCs w:val="32"/>
        </w:rPr>
        <w:t>车网互动规模化应用城市申报表</w:t>
      </w:r>
    </w:p>
    <w:tbl>
      <w:tblPr>
        <w:tblStyle w:val="7"/>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2098"/>
        <w:gridCol w:w="454"/>
        <w:gridCol w:w="2126"/>
        <w:gridCol w:w="1843"/>
      </w:tblGrid>
      <w:tr w14:paraId="3055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55BDD801">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申报城市</w:t>
            </w:r>
          </w:p>
        </w:tc>
        <w:tc>
          <w:tcPr>
            <w:tcW w:w="6521" w:type="dxa"/>
            <w:gridSpan w:val="4"/>
            <w:tcBorders>
              <w:top w:val="single" w:color="auto" w:sz="4" w:space="0"/>
              <w:left w:val="single" w:color="auto" w:sz="4" w:space="0"/>
              <w:bottom w:val="single" w:color="auto" w:sz="4" w:space="0"/>
              <w:right w:val="single" w:color="auto" w:sz="4" w:space="0"/>
            </w:tcBorders>
            <w:vAlign w:val="center"/>
          </w:tcPr>
          <w:p w14:paraId="1D3411C0">
            <w:pPr>
              <w:jc w:val="center"/>
              <w:rPr>
                <w:rFonts w:ascii="仿宋_GB2312" w:hAnsi="Times New Roman" w:eastAsia="仿宋_GB2312" w:cs="Calibri"/>
                <w:kern w:val="0"/>
                <w:sz w:val="24"/>
                <w:szCs w:val="24"/>
              </w:rPr>
            </w:pPr>
          </w:p>
        </w:tc>
      </w:tr>
      <w:tr w14:paraId="112D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4D1C573D">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申报省（区、市）</w:t>
            </w:r>
          </w:p>
        </w:tc>
        <w:tc>
          <w:tcPr>
            <w:tcW w:w="6521" w:type="dxa"/>
            <w:gridSpan w:val="4"/>
            <w:tcBorders>
              <w:top w:val="single" w:color="auto" w:sz="4" w:space="0"/>
              <w:left w:val="single" w:color="auto" w:sz="4" w:space="0"/>
              <w:bottom w:val="single" w:color="auto" w:sz="4" w:space="0"/>
              <w:right w:val="single" w:color="auto" w:sz="4" w:space="0"/>
            </w:tcBorders>
            <w:vAlign w:val="center"/>
          </w:tcPr>
          <w:p w14:paraId="71730276">
            <w:pPr>
              <w:jc w:val="center"/>
              <w:rPr>
                <w:rFonts w:ascii="仿宋_GB2312" w:hAnsi="Times New Roman" w:eastAsia="仿宋_GB2312" w:cs="Calibri"/>
                <w:kern w:val="0"/>
                <w:sz w:val="24"/>
                <w:szCs w:val="24"/>
              </w:rPr>
            </w:pPr>
          </w:p>
        </w:tc>
      </w:tr>
      <w:tr w14:paraId="57CA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43" w:type="dxa"/>
            <w:gridSpan w:val="2"/>
            <w:vMerge w:val="restart"/>
            <w:tcBorders>
              <w:top w:val="single" w:color="auto" w:sz="4" w:space="0"/>
              <w:left w:val="single" w:color="auto" w:sz="4" w:space="0"/>
              <w:right w:val="single" w:color="auto" w:sz="4" w:space="0"/>
            </w:tcBorders>
            <w:vAlign w:val="center"/>
          </w:tcPr>
          <w:p w14:paraId="07D21D08">
            <w:pPr>
              <w:jc w:val="center"/>
              <w:rPr>
                <w:rFonts w:ascii="仿宋_GB2312" w:hAnsi="Times New Roman" w:eastAsia="仿宋_GB2312" w:cs="Calibri"/>
                <w:kern w:val="0"/>
                <w:sz w:val="24"/>
                <w:szCs w:val="24"/>
              </w:rPr>
            </w:pPr>
            <w:bookmarkStart w:id="0" w:name="_Hlk159149870"/>
            <w:r>
              <w:rPr>
                <w:rFonts w:hint="eastAsia" w:ascii="仿宋_GB2312" w:hAnsi="Times New Roman" w:eastAsia="仿宋_GB2312" w:cs="Calibri"/>
                <w:kern w:val="0"/>
                <w:sz w:val="24"/>
                <w:szCs w:val="24"/>
              </w:rPr>
              <w:t>新能源汽车与充换电设施</w:t>
            </w:r>
            <w:bookmarkEnd w:id="0"/>
            <w:r>
              <w:rPr>
                <w:rFonts w:hint="eastAsia" w:ascii="仿宋_GB2312" w:hAnsi="Times New Roman" w:eastAsia="仿宋_GB2312" w:cs="Calibri"/>
                <w:kern w:val="0"/>
                <w:sz w:val="24"/>
                <w:szCs w:val="24"/>
              </w:rPr>
              <w:t>发展基础</w:t>
            </w:r>
            <w:r>
              <w:rPr>
                <w:rFonts w:hint="eastAsia" w:ascii="仿宋_GB2312" w:hAnsi="Times New Roman" w:eastAsia="仿宋_GB2312" w:cs="Calibri"/>
                <w:kern w:val="0"/>
                <w:sz w:val="24"/>
                <w:szCs w:val="24"/>
                <w:vertAlign w:val="superscript"/>
              </w:rPr>
              <w:t>1</w:t>
            </w:r>
          </w:p>
        </w:tc>
        <w:tc>
          <w:tcPr>
            <w:tcW w:w="2552" w:type="dxa"/>
            <w:gridSpan w:val="2"/>
            <w:vMerge w:val="restart"/>
            <w:tcBorders>
              <w:top w:val="single" w:color="auto" w:sz="4" w:space="0"/>
              <w:left w:val="single" w:color="auto" w:sz="4" w:space="0"/>
              <w:right w:val="single" w:color="auto" w:sz="4" w:space="0"/>
            </w:tcBorders>
            <w:vAlign w:val="center"/>
          </w:tcPr>
          <w:p w14:paraId="37EA09C5">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新能源车辆</w:t>
            </w:r>
          </w:p>
        </w:tc>
        <w:tc>
          <w:tcPr>
            <w:tcW w:w="2126" w:type="dxa"/>
            <w:tcBorders>
              <w:top w:val="single" w:color="auto" w:sz="4" w:space="0"/>
              <w:left w:val="single" w:color="auto" w:sz="4" w:space="0"/>
              <w:bottom w:val="single" w:color="auto" w:sz="4" w:space="0"/>
              <w:right w:val="single" w:color="auto" w:sz="4" w:space="0"/>
            </w:tcBorders>
            <w:vAlign w:val="center"/>
          </w:tcPr>
          <w:p w14:paraId="1C3C30F3">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保有量（辆）</w:t>
            </w:r>
          </w:p>
        </w:tc>
        <w:tc>
          <w:tcPr>
            <w:tcW w:w="1843" w:type="dxa"/>
            <w:tcBorders>
              <w:top w:val="single" w:color="auto" w:sz="4" w:space="0"/>
              <w:left w:val="single" w:color="auto" w:sz="4" w:space="0"/>
              <w:bottom w:val="single" w:color="auto" w:sz="4" w:space="0"/>
              <w:right w:val="single" w:color="auto" w:sz="4" w:space="0"/>
            </w:tcBorders>
            <w:vAlign w:val="center"/>
          </w:tcPr>
          <w:p w14:paraId="459A4042">
            <w:pPr>
              <w:jc w:val="center"/>
              <w:rPr>
                <w:rFonts w:ascii="仿宋_GB2312" w:hAnsi="Times New Roman" w:eastAsia="仿宋_GB2312" w:cs="Calibri"/>
                <w:kern w:val="0"/>
                <w:sz w:val="24"/>
                <w:szCs w:val="24"/>
              </w:rPr>
            </w:pPr>
          </w:p>
        </w:tc>
      </w:tr>
      <w:tr w14:paraId="3B5B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43" w:type="dxa"/>
            <w:gridSpan w:val="2"/>
            <w:vMerge w:val="continue"/>
            <w:tcBorders>
              <w:left w:val="single" w:color="auto" w:sz="4" w:space="0"/>
              <w:right w:val="single" w:color="auto" w:sz="4" w:space="0"/>
            </w:tcBorders>
            <w:vAlign w:val="center"/>
          </w:tcPr>
          <w:p w14:paraId="5C373494">
            <w:pPr>
              <w:jc w:val="center"/>
              <w:rPr>
                <w:rFonts w:ascii="仿宋_GB2312" w:hAnsi="Times New Roman" w:eastAsia="仿宋_GB2312" w:cs="Calibri"/>
                <w:kern w:val="0"/>
                <w:sz w:val="24"/>
                <w:szCs w:val="24"/>
              </w:rPr>
            </w:pPr>
          </w:p>
        </w:tc>
        <w:tc>
          <w:tcPr>
            <w:tcW w:w="2552" w:type="dxa"/>
            <w:gridSpan w:val="2"/>
            <w:vMerge w:val="continue"/>
            <w:tcBorders>
              <w:left w:val="single" w:color="auto" w:sz="4" w:space="0"/>
              <w:bottom w:val="single" w:color="auto" w:sz="4" w:space="0"/>
              <w:right w:val="single" w:color="auto" w:sz="4" w:space="0"/>
            </w:tcBorders>
            <w:vAlign w:val="center"/>
          </w:tcPr>
          <w:p w14:paraId="06892EBF">
            <w:pPr>
              <w:jc w:val="center"/>
              <w:rPr>
                <w:rFonts w:ascii="仿宋_GB2312" w:hAnsi="Times New Roman" w:eastAsia="仿宋_GB2312" w:cs="Calibri"/>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58EE04B3">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市场渗透率（%）</w:t>
            </w:r>
          </w:p>
        </w:tc>
        <w:tc>
          <w:tcPr>
            <w:tcW w:w="1843" w:type="dxa"/>
            <w:tcBorders>
              <w:top w:val="single" w:color="auto" w:sz="4" w:space="0"/>
              <w:left w:val="single" w:color="auto" w:sz="4" w:space="0"/>
              <w:bottom w:val="single" w:color="auto" w:sz="4" w:space="0"/>
              <w:right w:val="single" w:color="auto" w:sz="4" w:space="0"/>
            </w:tcBorders>
            <w:vAlign w:val="center"/>
          </w:tcPr>
          <w:p w14:paraId="48A49AAC">
            <w:pPr>
              <w:jc w:val="center"/>
              <w:rPr>
                <w:rFonts w:ascii="仿宋_GB2312" w:hAnsi="Times New Roman" w:eastAsia="仿宋_GB2312" w:cs="Calibri"/>
                <w:kern w:val="0"/>
                <w:sz w:val="24"/>
                <w:szCs w:val="24"/>
              </w:rPr>
            </w:pPr>
          </w:p>
        </w:tc>
      </w:tr>
      <w:tr w14:paraId="69F9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843" w:type="dxa"/>
            <w:gridSpan w:val="2"/>
            <w:vMerge w:val="continue"/>
            <w:tcBorders>
              <w:left w:val="single" w:color="auto" w:sz="4" w:space="0"/>
              <w:right w:val="single" w:color="auto" w:sz="4" w:space="0"/>
            </w:tcBorders>
            <w:vAlign w:val="center"/>
          </w:tcPr>
          <w:p w14:paraId="0819E3C7">
            <w:pPr>
              <w:jc w:val="center"/>
              <w:rPr>
                <w:rFonts w:ascii="仿宋_GB2312" w:hAnsi="Times New Roman" w:eastAsia="仿宋_GB2312" w:cs="Calibri"/>
                <w:kern w:val="0"/>
                <w:sz w:val="24"/>
                <w:szCs w:val="24"/>
              </w:rPr>
            </w:pPr>
          </w:p>
        </w:tc>
        <w:tc>
          <w:tcPr>
            <w:tcW w:w="2552" w:type="dxa"/>
            <w:gridSpan w:val="2"/>
            <w:vMerge w:val="restart"/>
            <w:tcBorders>
              <w:top w:val="single" w:color="auto" w:sz="4" w:space="0"/>
              <w:left w:val="single" w:color="auto" w:sz="4" w:space="0"/>
              <w:right w:val="single" w:color="auto" w:sz="4" w:space="0"/>
            </w:tcBorders>
            <w:vAlign w:val="center"/>
          </w:tcPr>
          <w:p w14:paraId="33293CC4">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充电设施</w:t>
            </w:r>
          </w:p>
        </w:tc>
        <w:tc>
          <w:tcPr>
            <w:tcW w:w="2126" w:type="dxa"/>
            <w:tcBorders>
              <w:top w:val="single" w:color="auto" w:sz="4" w:space="0"/>
              <w:left w:val="single" w:color="auto" w:sz="4" w:space="0"/>
              <w:bottom w:val="single" w:color="auto" w:sz="4" w:space="0"/>
              <w:right w:val="single" w:color="auto" w:sz="4" w:space="0"/>
            </w:tcBorders>
            <w:vAlign w:val="center"/>
          </w:tcPr>
          <w:p w14:paraId="5006417A">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充电站（座）</w:t>
            </w:r>
          </w:p>
        </w:tc>
        <w:tc>
          <w:tcPr>
            <w:tcW w:w="1843" w:type="dxa"/>
            <w:tcBorders>
              <w:top w:val="single" w:color="auto" w:sz="4" w:space="0"/>
              <w:left w:val="single" w:color="auto" w:sz="4" w:space="0"/>
              <w:bottom w:val="single" w:color="auto" w:sz="4" w:space="0"/>
              <w:right w:val="single" w:color="auto" w:sz="4" w:space="0"/>
            </w:tcBorders>
            <w:vAlign w:val="center"/>
          </w:tcPr>
          <w:p w14:paraId="136CF211">
            <w:pPr>
              <w:jc w:val="center"/>
              <w:rPr>
                <w:rFonts w:ascii="仿宋_GB2312" w:hAnsi="Times New Roman" w:eastAsia="仿宋_GB2312" w:cs="Calibri"/>
                <w:kern w:val="0"/>
                <w:sz w:val="24"/>
                <w:szCs w:val="24"/>
              </w:rPr>
            </w:pPr>
          </w:p>
        </w:tc>
      </w:tr>
      <w:tr w14:paraId="3849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843" w:type="dxa"/>
            <w:gridSpan w:val="2"/>
            <w:vMerge w:val="continue"/>
            <w:tcBorders>
              <w:left w:val="single" w:color="auto" w:sz="4" w:space="0"/>
              <w:right w:val="single" w:color="auto" w:sz="4" w:space="0"/>
            </w:tcBorders>
            <w:vAlign w:val="center"/>
          </w:tcPr>
          <w:p w14:paraId="7B0C4E2B">
            <w:pPr>
              <w:jc w:val="center"/>
              <w:rPr>
                <w:rFonts w:ascii="仿宋_GB2312" w:hAnsi="Times New Roman" w:eastAsia="仿宋_GB2312" w:cs="Calibri"/>
                <w:kern w:val="0"/>
                <w:sz w:val="24"/>
                <w:szCs w:val="24"/>
              </w:rPr>
            </w:pPr>
          </w:p>
        </w:tc>
        <w:tc>
          <w:tcPr>
            <w:tcW w:w="2552" w:type="dxa"/>
            <w:gridSpan w:val="2"/>
            <w:vMerge w:val="continue"/>
            <w:tcBorders>
              <w:left w:val="single" w:color="auto" w:sz="4" w:space="0"/>
              <w:right w:val="single" w:color="auto" w:sz="4" w:space="0"/>
            </w:tcBorders>
            <w:vAlign w:val="center"/>
          </w:tcPr>
          <w:p w14:paraId="32CED8AE">
            <w:pPr>
              <w:jc w:val="center"/>
              <w:rPr>
                <w:rFonts w:ascii="仿宋_GB2312" w:hAnsi="Times New Roman" w:eastAsia="仿宋_GB2312" w:cs="Calibri"/>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7D4050AD">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充电桩（个）</w:t>
            </w:r>
          </w:p>
        </w:tc>
        <w:tc>
          <w:tcPr>
            <w:tcW w:w="1843" w:type="dxa"/>
            <w:tcBorders>
              <w:top w:val="single" w:color="auto" w:sz="4" w:space="0"/>
              <w:left w:val="single" w:color="auto" w:sz="4" w:space="0"/>
              <w:bottom w:val="single" w:color="auto" w:sz="4" w:space="0"/>
              <w:right w:val="single" w:color="auto" w:sz="4" w:space="0"/>
            </w:tcBorders>
            <w:vAlign w:val="center"/>
          </w:tcPr>
          <w:p w14:paraId="5E62AF5F">
            <w:pPr>
              <w:jc w:val="center"/>
              <w:rPr>
                <w:rFonts w:ascii="仿宋_GB2312" w:hAnsi="Times New Roman" w:eastAsia="仿宋_GB2312" w:cs="Calibri"/>
                <w:kern w:val="0"/>
                <w:sz w:val="24"/>
                <w:szCs w:val="24"/>
              </w:rPr>
            </w:pPr>
          </w:p>
        </w:tc>
      </w:tr>
      <w:tr w14:paraId="5C6C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3" w:type="dxa"/>
            <w:gridSpan w:val="2"/>
            <w:vMerge w:val="continue"/>
            <w:tcBorders>
              <w:left w:val="single" w:color="auto" w:sz="4" w:space="0"/>
              <w:right w:val="single" w:color="auto" w:sz="4" w:space="0"/>
            </w:tcBorders>
            <w:vAlign w:val="center"/>
          </w:tcPr>
          <w:p w14:paraId="29BB629A">
            <w:pPr>
              <w:jc w:val="center"/>
              <w:rPr>
                <w:rFonts w:ascii="仿宋_GB2312" w:hAnsi="Times New Roman" w:eastAsia="仿宋_GB2312" w:cs="Calibri"/>
                <w:kern w:val="0"/>
                <w:sz w:val="24"/>
                <w:szCs w:val="24"/>
              </w:rPr>
            </w:pPr>
          </w:p>
        </w:tc>
        <w:tc>
          <w:tcPr>
            <w:tcW w:w="2552" w:type="dxa"/>
            <w:gridSpan w:val="2"/>
            <w:tcBorders>
              <w:left w:val="single" w:color="auto" w:sz="4" w:space="0"/>
              <w:bottom w:val="single" w:color="auto" w:sz="4" w:space="0"/>
              <w:right w:val="single" w:color="auto" w:sz="4" w:space="0"/>
            </w:tcBorders>
            <w:vAlign w:val="center"/>
          </w:tcPr>
          <w:p w14:paraId="6A2FC61B">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换电设施</w:t>
            </w:r>
          </w:p>
        </w:tc>
        <w:tc>
          <w:tcPr>
            <w:tcW w:w="2126" w:type="dxa"/>
            <w:tcBorders>
              <w:top w:val="single" w:color="auto" w:sz="4" w:space="0"/>
              <w:left w:val="single" w:color="auto" w:sz="4" w:space="0"/>
              <w:bottom w:val="single" w:color="auto" w:sz="4" w:space="0"/>
              <w:right w:val="single" w:color="auto" w:sz="4" w:space="0"/>
            </w:tcBorders>
            <w:vAlign w:val="center"/>
          </w:tcPr>
          <w:p w14:paraId="5474EBE4">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换电站（座）</w:t>
            </w:r>
          </w:p>
        </w:tc>
        <w:tc>
          <w:tcPr>
            <w:tcW w:w="1843" w:type="dxa"/>
            <w:tcBorders>
              <w:top w:val="single" w:color="auto" w:sz="4" w:space="0"/>
              <w:left w:val="single" w:color="auto" w:sz="4" w:space="0"/>
              <w:bottom w:val="single" w:color="auto" w:sz="4" w:space="0"/>
              <w:right w:val="single" w:color="auto" w:sz="4" w:space="0"/>
            </w:tcBorders>
            <w:vAlign w:val="center"/>
          </w:tcPr>
          <w:p w14:paraId="69A8C6FC">
            <w:pPr>
              <w:jc w:val="center"/>
              <w:rPr>
                <w:rFonts w:ascii="仿宋_GB2312" w:hAnsi="Times New Roman" w:eastAsia="仿宋_GB2312" w:cs="Calibri"/>
                <w:kern w:val="0"/>
                <w:sz w:val="24"/>
                <w:szCs w:val="24"/>
              </w:rPr>
            </w:pPr>
          </w:p>
        </w:tc>
      </w:tr>
      <w:tr w14:paraId="7D64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3" w:type="dxa"/>
            <w:gridSpan w:val="2"/>
            <w:vMerge w:val="continue"/>
            <w:tcBorders>
              <w:left w:val="single" w:color="auto" w:sz="4" w:space="0"/>
              <w:right w:val="single" w:color="auto" w:sz="4" w:space="0"/>
            </w:tcBorders>
            <w:vAlign w:val="center"/>
          </w:tcPr>
          <w:p w14:paraId="67FD05AF">
            <w:pPr>
              <w:jc w:val="center"/>
              <w:rPr>
                <w:rFonts w:ascii="仿宋_GB2312" w:hAnsi="Times New Roman" w:eastAsia="仿宋_GB2312" w:cs="Calibri"/>
                <w:kern w:val="0"/>
                <w:sz w:val="24"/>
                <w:szCs w:val="24"/>
              </w:rPr>
            </w:pPr>
          </w:p>
        </w:tc>
        <w:tc>
          <w:tcPr>
            <w:tcW w:w="2552" w:type="dxa"/>
            <w:gridSpan w:val="2"/>
            <w:vMerge w:val="restart"/>
            <w:tcBorders>
              <w:left w:val="single" w:color="auto" w:sz="4" w:space="0"/>
              <w:right w:val="single" w:color="auto" w:sz="4" w:space="0"/>
            </w:tcBorders>
            <w:vAlign w:val="center"/>
          </w:tcPr>
          <w:p w14:paraId="53F3DDA8">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充电设施用电情况</w:t>
            </w:r>
          </w:p>
        </w:tc>
        <w:tc>
          <w:tcPr>
            <w:tcW w:w="2126" w:type="dxa"/>
            <w:tcBorders>
              <w:top w:val="single" w:color="auto" w:sz="4" w:space="0"/>
              <w:left w:val="single" w:color="auto" w:sz="4" w:space="0"/>
              <w:bottom w:val="single" w:color="auto" w:sz="4" w:space="0"/>
              <w:right w:val="single" w:color="auto" w:sz="4" w:space="0"/>
            </w:tcBorders>
            <w:vAlign w:val="center"/>
          </w:tcPr>
          <w:p w14:paraId="4BDF4C9F">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居民充电分时电价（有/无）</w:t>
            </w:r>
          </w:p>
        </w:tc>
        <w:tc>
          <w:tcPr>
            <w:tcW w:w="1843" w:type="dxa"/>
            <w:tcBorders>
              <w:top w:val="single" w:color="auto" w:sz="4" w:space="0"/>
              <w:left w:val="single" w:color="auto" w:sz="4" w:space="0"/>
              <w:bottom w:val="single" w:color="auto" w:sz="4" w:space="0"/>
              <w:right w:val="single" w:color="auto" w:sz="4" w:space="0"/>
            </w:tcBorders>
            <w:vAlign w:val="center"/>
          </w:tcPr>
          <w:p w14:paraId="62A4DEE1">
            <w:pPr>
              <w:jc w:val="center"/>
              <w:rPr>
                <w:rFonts w:ascii="仿宋_GB2312" w:hAnsi="Times New Roman" w:eastAsia="仿宋_GB2312" w:cs="Calibri"/>
                <w:kern w:val="0"/>
                <w:sz w:val="24"/>
                <w:szCs w:val="24"/>
              </w:rPr>
            </w:pPr>
          </w:p>
        </w:tc>
      </w:tr>
      <w:tr w14:paraId="2B58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3" w:type="dxa"/>
            <w:gridSpan w:val="2"/>
            <w:vMerge w:val="continue"/>
            <w:tcBorders>
              <w:left w:val="single" w:color="auto" w:sz="4" w:space="0"/>
              <w:right w:val="single" w:color="auto" w:sz="4" w:space="0"/>
            </w:tcBorders>
            <w:vAlign w:val="center"/>
          </w:tcPr>
          <w:p w14:paraId="237FFCA2">
            <w:pPr>
              <w:jc w:val="center"/>
              <w:rPr>
                <w:rFonts w:ascii="仿宋_GB2312" w:hAnsi="Times New Roman" w:eastAsia="仿宋_GB2312" w:cs="Calibri"/>
                <w:kern w:val="0"/>
                <w:sz w:val="24"/>
                <w:szCs w:val="24"/>
              </w:rPr>
            </w:pPr>
          </w:p>
        </w:tc>
        <w:tc>
          <w:tcPr>
            <w:tcW w:w="2552" w:type="dxa"/>
            <w:gridSpan w:val="2"/>
            <w:vMerge w:val="continue"/>
            <w:tcBorders>
              <w:left w:val="single" w:color="auto" w:sz="4" w:space="0"/>
              <w:right w:val="single" w:color="auto" w:sz="4" w:space="0"/>
            </w:tcBorders>
            <w:vAlign w:val="center"/>
          </w:tcPr>
          <w:p w14:paraId="577E00E2">
            <w:pPr>
              <w:jc w:val="center"/>
              <w:rPr>
                <w:rFonts w:ascii="仿宋_GB2312" w:hAnsi="Times New Roman" w:eastAsia="仿宋_GB2312" w:cs="Calibri"/>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697B15C7">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全年充电量低谷时段占比（%）</w:t>
            </w:r>
          </w:p>
        </w:tc>
        <w:tc>
          <w:tcPr>
            <w:tcW w:w="1843" w:type="dxa"/>
            <w:tcBorders>
              <w:top w:val="single" w:color="auto" w:sz="4" w:space="0"/>
              <w:left w:val="single" w:color="auto" w:sz="4" w:space="0"/>
              <w:bottom w:val="single" w:color="auto" w:sz="4" w:space="0"/>
              <w:right w:val="single" w:color="auto" w:sz="4" w:space="0"/>
            </w:tcBorders>
            <w:vAlign w:val="center"/>
          </w:tcPr>
          <w:p w14:paraId="4A221626">
            <w:pPr>
              <w:jc w:val="center"/>
              <w:rPr>
                <w:rFonts w:ascii="仿宋_GB2312" w:hAnsi="Times New Roman" w:eastAsia="仿宋_GB2312" w:cs="Calibri"/>
                <w:kern w:val="0"/>
                <w:sz w:val="24"/>
                <w:szCs w:val="24"/>
              </w:rPr>
            </w:pPr>
          </w:p>
        </w:tc>
      </w:tr>
      <w:tr w14:paraId="2865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43" w:type="dxa"/>
            <w:gridSpan w:val="2"/>
            <w:vMerge w:val="continue"/>
            <w:tcBorders>
              <w:left w:val="single" w:color="auto" w:sz="4" w:space="0"/>
              <w:right w:val="single" w:color="auto" w:sz="4" w:space="0"/>
            </w:tcBorders>
            <w:vAlign w:val="center"/>
          </w:tcPr>
          <w:p w14:paraId="3E261885">
            <w:pPr>
              <w:jc w:val="center"/>
              <w:rPr>
                <w:rFonts w:ascii="仿宋_GB2312" w:hAnsi="Times New Roman" w:eastAsia="仿宋_GB2312" w:cs="Calibri"/>
                <w:kern w:val="0"/>
                <w:sz w:val="24"/>
                <w:szCs w:val="24"/>
              </w:rPr>
            </w:pPr>
          </w:p>
        </w:tc>
        <w:tc>
          <w:tcPr>
            <w:tcW w:w="2552" w:type="dxa"/>
            <w:gridSpan w:val="2"/>
            <w:vMerge w:val="continue"/>
            <w:tcBorders>
              <w:left w:val="single" w:color="auto" w:sz="4" w:space="0"/>
              <w:bottom w:val="single" w:color="auto" w:sz="4" w:space="0"/>
              <w:right w:val="single" w:color="auto" w:sz="4" w:space="0"/>
            </w:tcBorders>
            <w:vAlign w:val="center"/>
          </w:tcPr>
          <w:p w14:paraId="70FBB4B4">
            <w:pPr>
              <w:jc w:val="center"/>
              <w:rPr>
                <w:rFonts w:ascii="仿宋_GB2312" w:hAnsi="Times New Roman" w:eastAsia="仿宋_GB2312" w:cs="Calibri"/>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26EB8AB5">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私人桩全年充电量低谷时段占比（%）</w:t>
            </w:r>
          </w:p>
        </w:tc>
        <w:tc>
          <w:tcPr>
            <w:tcW w:w="1843" w:type="dxa"/>
            <w:tcBorders>
              <w:top w:val="single" w:color="auto" w:sz="4" w:space="0"/>
              <w:left w:val="single" w:color="auto" w:sz="4" w:space="0"/>
              <w:bottom w:val="single" w:color="auto" w:sz="4" w:space="0"/>
              <w:right w:val="single" w:color="auto" w:sz="4" w:space="0"/>
            </w:tcBorders>
            <w:vAlign w:val="center"/>
          </w:tcPr>
          <w:p w14:paraId="2B06C308">
            <w:pPr>
              <w:jc w:val="center"/>
              <w:rPr>
                <w:rFonts w:ascii="仿宋_GB2312" w:hAnsi="Times New Roman" w:eastAsia="仿宋_GB2312" w:cs="Calibri"/>
                <w:kern w:val="0"/>
                <w:sz w:val="24"/>
                <w:szCs w:val="24"/>
              </w:rPr>
            </w:pPr>
          </w:p>
        </w:tc>
      </w:tr>
      <w:tr w14:paraId="5A2D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restart"/>
            <w:tcBorders>
              <w:top w:val="single" w:color="auto" w:sz="4" w:space="0"/>
              <w:left w:val="single" w:color="auto" w:sz="4" w:space="0"/>
              <w:right w:val="single" w:color="auto" w:sz="4" w:space="0"/>
            </w:tcBorders>
            <w:vAlign w:val="center"/>
          </w:tcPr>
          <w:p w14:paraId="01FB4168">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建设目标</w:t>
            </w:r>
            <w:r>
              <w:rPr>
                <w:rFonts w:hint="eastAsia" w:ascii="仿宋_GB2312" w:hAnsi="Times New Roman" w:eastAsia="仿宋_GB2312" w:cs="Calibri"/>
                <w:kern w:val="0"/>
                <w:sz w:val="24"/>
                <w:szCs w:val="24"/>
                <w:vertAlign w:val="superscript"/>
              </w:rPr>
              <w:t>2</w:t>
            </w:r>
          </w:p>
        </w:tc>
        <w:tc>
          <w:tcPr>
            <w:tcW w:w="1276" w:type="dxa"/>
            <w:vMerge w:val="restart"/>
            <w:tcBorders>
              <w:top w:val="single" w:color="auto" w:sz="4" w:space="0"/>
              <w:left w:val="single" w:color="auto" w:sz="4" w:space="0"/>
              <w:right w:val="single" w:color="auto" w:sz="4" w:space="0"/>
            </w:tcBorders>
            <w:vAlign w:val="center"/>
          </w:tcPr>
          <w:p w14:paraId="479E6E88">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接入政府监管平台的智能有序充换电设施规模</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80A3969">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智能有序充电站数量目标（座）</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207E0532">
            <w:pPr>
              <w:jc w:val="center"/>
              <w:rPr>
                <w:rFonts w:ascii="仿宋_GB2312" w:hAnsi="Times New Roman" w:eastAsia="仿宋_GB2312" w:cs="Calibri"/>
                <w:kern w:val="0"/>
                <w:sz w:val="24"/>
                <w:szCs w:val="24"/>
              </w:rPr>
            </w:pPr>
          </w:p>
        </w:tc>
      </w:tr>
      <w:tr w14:paraId="677D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tcBorders>
              <w:top w:val="single" w:color="auto" w:sz="4" w:space="0"/>
              <w:left w:val="single" w:color="auto" w:sz="4" w:space="0"/>
              <w:right w:val="single" w:color="auto" w:sz="4" w:space="0"/>
            </w:tcBorders>
            <w:vAlign w:val="center"/>
          </w:tcPr>
          <w:p w14:paraId="640C570C">
            <w:pPr>
              <w:jc w:val="center"/>
              <w:rPr>
                <w:rFonts w:ascii="仿宋_GB2312" w:hAnsi="Times New Roman" w:eastAsia="仿宋_GB2312" w:cs="Calibri"/>
                <w:kern w:val="0"/>
                <w:sz w:val="24"/>
                <w:szCs w:val="24"/>
              </w:rPr>
            </w:pPr>
          </w:p>
        </w:tc>
        <w:tc>
          <w:tcPr>
            <w:tcW w:w="1276" w:type="dxa"/>
            <w:vMerge w:val="continue"/>
            <w:tcBorders>
              <w:left w:val="single" w:color="auto" w:sz="4" w:space="0"/>
              <w:right w:val="single" w:color="auto" w:sz="4" w:space="0"/>
            </w:tcBorders>
            <w:vAlign w:val="center"/>
          </w:tcPr>
          <w:p w14:paraId="067A7833">
            <w:pPr>
              <w:jc w:val="center"/>
              <w:rPr>
                <w:rFonts w:ascii="仿宋_GB2312" w:hAnsi="Times New Roman" w:eastAsia="仿宋_GB2312" w:cs="Calibri"/>
                <w:kern w:val="0"/>
                <w:sz w:val="24"/>
                <w:szCs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1DAAF6F">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智能有序充电桩数量目标（个）</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15D73538">
            <w:pPr>
              <w:jc w:val="center"/>
              <w:rPr>
                <w:rFonts w:ascii="仿宋_GB2312" w:hAnsi="Times New Roman" w:eastAsia="仿宋_GB2312" w:cs="Calibri"/>
                <w:kern w:val="0"/>
                <w:sz w:val="24"/>
                <w:szCs w:val="24"/>
              </w:rPr>
            </w:pPr>
          </w:p>
        </w:tc>
      </w:tr>
      <w:tr w14:paraId="2B71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67" w:type="dxa"/>
            <w:vMerge w:val="continue"/>
            <w:tcBorders>
              <w:top w:val="single" w:color="auto" w:sz="4" w:space="0"/>
              <w:left w:val="single" w:color="auto" w:sz="4" w:space="0"/>
              <w:right w:val="single" w:color="auto" w:sz="4" w:space="0"/>
            </w:tcBorders>
            <w:vAlign w:val="center"/>
          </w:tcPr>
          <w:p w14:paraId="4A096188">
            <w:pPr>
              <w:jc w:val="center"/>
              <w:rPr>
                <w:rFonts w:ascii="仿宋_GB2312" w:hAnsi="Times New Roman" w:eastAsia="仿宋_GB2312" w:cs="Calibri"/>
                <w:kern w:val="0"/>
                <w:sz w:val="24"/>
                <w:szCs w:val="24"/>
              </w:rPr>
            </w:pPr>
          </w:p>
        </w:tc>
        <w:tc>
          <w:tcPr>
            <w:tcW w:w="1276" w:type="dxa"/>
            <w:vMerge w:val="continue"/>
            <w:tcBorders>
              <w:left w:val="single" w:color="auto" w:sz="4" w:space="0"/>
              <w:right w:val="single" w:color="auto" w:sz="4" w:space="0"/>
            </w:tcBorders>
            <w:vAlign w:val="center"/>
          </w:tcPr>
          <w:p w14:paraId="714FD751">
            <w:pPr>
              <w:jc w:val="center"/>
              <w:rPr>
                <w:rFonts w:ascii="仿宋_GB2312" w:hAnsi="Times New Roman" w:eastAsia="仿宋_GB2312" w:cs="Calibri"/>
                <w:kern w:val="0"/>
                <w:sz w:val="24"/>
                <w:szCs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177F3030">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智能有序换电站数量目标（座）</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57194CBE">
            <w:pPr>
              <w:jc w:val="center"/>
              <w:rPr>
                <w:rFonts w:ascii="仿宋_GB2312" w:hAnsi="Times New Roman" w:eastAsia="仿宋_GB2312" w:cs="Calibri"/>
                <w:kern w:val="0"/>
                <w:sz w:val="24"/>
                <w:szCs w:val="24"/>
              </w:rPr>
            </w:pPr>
          </w:p>
        </w:tc>
      </w:tr>
      <w:tr w14:paraId="7587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67" w:type="dxa"/>
            <w:vMerge w:val="continue"/>
            <w:tcBorders>
              <w:left w:val="single" w:color="auto" w:sz="4" w:space="0"/>
              <w:right w:val="single" w:color="auto" w:sz="4" w:space="0"/>
            </w:tcBorders>
            <w:vAlign w:val="center"/>
          </w:tcPr>
          <w:p w14:paraId="4FAAEE9E">
            <w:pPr>
              <w:jc w:val="center"/>
              <w:rPr>
                <w:rFonts w:ascii="仿宋_GB2312" w:hAnsi="Times New Roman" w:eastAsia="仿宋_GB2312" w:cs="Calibri"/>
                <w:kern w:val="0"/>
                <w:sz w:val="24"/>
                <w:szCs w:val="24"/>
              </w:rPr>
            </w:pPr>
          </w:p>
        </w:tc>
        <w:tc>
          <w:tcPr>
            <w:tcW w:w="1276" w:type="dxa"/>
            <w:vMerge w:val="restart"/>
            <w:tcBorders>
              <w:left w:val="single" w:color="auto" w:sz="4" w:space="0"/>
              <w:right w:val="single" w:color="auto" w:sz="4" w:space="0"/>
            </w:tcBorders>
            <w:vAlign w:val="center"/>
          </w:tcPr>
          <w:p w14:paraId="7ED2501D">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低谷时段充电电量占比目标</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8D4B64D">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全年充电量低谷时段占比目标（%）</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2A2805B8">
            <w:pPr>
              <w:jc w:val="center"/>
              <w:rPr>
                <w:rFonts w:ascii="仿宋_GB2312" w:hAnsi="Times New Roman" w:eastAsia="仿宋_GB2312" w:cs="Calibri"/>
                <w:kern w:val="0"/>
                <w:sz w:val="24"/>
                <w:szCs w:val="24"/>
              </w:rPr>
            </w:pPr>
          </w:p>
        </w:tc>
      </w:tr>
      <w:tr w14:paraId="449D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567" w:type="dxa"/>
            <w:vMerge w:val="continue"/>
            <w:tcBorders>
              <w:left w:val="single" w:color="auto" w:sz="4" w:space="0"/>
              <w:right w:val="single" w:color="auto" w:sz="4" w:space="0"/>
            </w:tcBorders>
            <w:vAlign w:val="center"/>
          </w:tcPr>
          <w:p w14:paraId="67ECC0D1">
            <w:pPr>
              <w:jc w:val="center"/>
              <w:rPr>
                <w:rFonts w:ascii="仿宋_GB2312" w:hAnsi="Times New Roman" w:eastAsia="仿宋_GB2312" w:cs="Calibri"/>
                <w:kern w:val="0"/>
                <w:sz w:val="24"/>
                <w:szCs w:val="24"/>
              </w:rPr>
            </w:pPr>
          </w:p>
        </w:tc>
        <w:tc>
          <w:tcPr>
            <w:tcW w:w="1276" w:type="dxa"/>
            <w:vMerge w:val="continue"/>
            <w:tcBorders>
              <w:left w:val="single" w:color="auto" w:sz="4" w:space="0"/>
              <w:right w:val="single" w:color="auto" w:sz="4" w:space="0"/>
            </w:tcBorders>
            <w:vAlign w:val="center"/>
          </w:tcPr>
          <w:p w14:paraId="4C45B34B">
            <w:pPr>
              <w:jc w:val="center"/>
              <w:rPr>
                <w:rFonts w:ascii="仿宋_GB2312" w:hAnsi="Times New Roman" w:eastAsia="仿宋_GB2312" w:cs="Calibri"/>
                <w:kern w:val="0"/>
                <w:sz w:val="24"/>
                <w:szCs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0CF1163">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私人桩全年充电量低谷时段占比目标（%）</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46104304">
            <w:pPr>
              <w:jc w:val="center"/>
              <w:rPr>
                <w:rFonts w:ascii="仿宋_GB2312" w:hAnsi="Times New Roman" w:eastAsia="仿宋_GB2312" w:cs="Calibri"/>
                <w:kern w:val="0"/>
                <w:sz w:val="24"/>
                <w:szCs w:val="24"/>
              </w:rPr>
            </w:pPr>
          </w:p>
        </w:tc>
      </w:tr>
      <w:tr w14:paraId="71CB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Borders>
              <w:left w:val="single" w:color="auto" w:sz="4" w:space="0"/>
              <w:right w:val="single" w:color="auto" w:sz="4" w:space="0"/>
            </w:tcBorders>
            <w:vAlign w:val="center"/>
          </w:tcPr>
          <w:p w14:paraId="45314BFA">
            <w:pPr>
              <w:jc w:val="center"/>
              <w:rPr>
                <w:rFonts w:ascii="仿宋_GB2312" w:hAnsi="Times New Roman" w:eastAsia="仿宋_GB2312" w:cs="Calibri"/>
                <w:kern w:val="0"/>
                <w:sz w:val="24"/>
                <w:szCs w:val="24"/>
              </w:rPr>
            </w:pPr>
          </w:p>
        </w:tc>
        <w:tc>
          <w:tcPr>
            <w:tcW w:w="1276" w:type="dxa"/>
            <w:vMerge w:val="restart"/>
            <w:tcBorders>
              <w:top w:val="single" w:color="auto" w:sz="4" w:space="0"/>
              <w:left w:val="single" w:color="auto" w:sz="4" w:space="0"/>
              <w:right w:val="single" w:color="auto" w:sz="4" w:space="0"/>
            </w:tcBorders>
            <w:vAlign w:val="center"/>
          </w:tcPr>
          <w:p w14:paraId="3EAB69A8">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车网互动聚合交易预期目标</w:t>
            </w:r>
          </w:p>
        </w:tc>
        <w:tc>
          <w:tcPr>
            <w:tcW w:w="2552" w:type="dxa"/>
            <w:gridSpan w:val="2"/>
            <w:vMerge w:val="restart"/>
            <w:tcBorders>
              <w:top w:val="single" w:color="auto" w:sz="4" w:space="0"/>
              <w:left w:val="single" w:color="auto" w:sz="4" w:space="0"/>
              <w:right w:val="single" w:color="auto" w:sz="4" w:space="0"/>
            </w:tcBorders>
            <w:vAlign w:val="center"/>
          </w:tcPr>
          <w:p w14:paraId="6E14BBB5">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聚合资源规模</w:t>
            </w:r>
          </w:p>
        </w:tc>
        <w:tc>
          <w:tcPr>
            <w:tcW w:w="2126" w:type="dxa"/>
            <w:tcBorders>
              <w:top w:val="single" w:color="auto" w:sz="4" w:space="0"/>
              <w:left w:val="single" w:color="auto" w:sz="4" w:space="0"/>
              <w:bottom w:val="single" w:color="auto" w:sz="4" w:space="0"/>
              <w:right w:val="single" w:color="auto" w:sz="4" w:space="0"/>
            </w:tcBorders>
            <w:vAlign w:val="center"/>
          </w:tcPr>
          <w:p w14:paraId="56EB24D1">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充换电站（座）</w:t>
            </w:r>
          </w:p>
        </w:tc>
        <w:tc>
          <w:tcPr>
            <w:tcW w:w="1843" w:type="dxa"/>
            <w:tcBorders>
              <w:top w:val="single" w:color="auto" w:sz="4" w:space="0"/>
              <w:left w:val="single" w:color="auto" w:sz="4" w:space="0"/>
              <w:bottom w:val="single" w:color="auto" w:sz="4" w:space="0"/>
              <w:right w:val="single" w:color="auto" w:sz="4" w:space="0"/>
            </w:tcBorders>
            <w:vAlign w:val="center"/>
          </w:tcPr>
          <w:p w14:paraId="2BDFAE92">
            <w:pPr>
              <w:jc w:val="center"/>
              <w:rPr>
                <w:rFonts w:ascii="仿宋_GB2312" w:hAnsi="Times New Roman" w:eastAsia="仿宋_GB2312" w:cs="Calibri"/>
                <w:kern w:val="0"/>
                <w:sz w:val="24"/>
                <w:szCs w:val="24"/>
              </w:rPr>
            </w:pPr>
          </w:p>
        </w:tc>
      </w:tr>
      <w:tr w14:paraId="73B1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67" w:type="dxa"/>
            <w:vMerge w:val="continue"/>
            <w:tcBorders>
              <w:left w:val="single" w:color="auto" w:sz="4" w:space="0"/>
              <w:right w:val="single" w:color="auto" w:sz="4" w:space="0"/>
            </w:tcBorders>
            <w:vAlign w:val="center"/>
          </w:tcPr>
          <w:p w14:paraId="7F0D58BA">
            <w:pPr>
              <w:jc w:val="center"/>
              <w:rPr>
                <w:rFonts w:ascii="仿宋_GB2312" w:hAnsi="Times New Roman" w:eastAsia="仿宋_GB2312" w:cs="Calibri"/>
                <w:kern w:val="0"/>
                <w:sz w:val="24"/>
                <w:szCs w:val="24"/>
              </w:rPr>
            </w:pPr>
          </w:p>
        </w:tc>
        <w:tc>
          <w:tcPr>
            <w:tcW w:w="1276" w:type="dxa"/>
            <w:vMerge w:val="continue"/>
            <w:tcBorders>
              <w:left w:val="single" w:color="auto" w:sz="4" w:space="0"/>
              <w:right w:val="single" w:color="auto" w:sz="4" w:space="0"/>
            </w:tcBorders>
            <w:vAlign w:val="center"/>
          </w:tcPr>
          <w:p w14:paraId="6DFB7379">
            <w:pPr>
              <w:jc w:val="center"/>
              <w:rPr>
                <w:rFonts w:ascii="仿宋_GB2312" w:hAnsi="Times New Roman" w:eastAsia="仿宋_GB2312" w:cs="Calibri"/>
                <w:kern w:val="0"/>
                <w:sz w:val="24"/>
                <w:szCs w:val="24"/>
              </w:rPr>
            </w:pPr>
          </w:p>
        </w:tc>
        <w:tc>
          <w:tcPr>
            <w:tcW w:w="2552" w:type="dxa"/>
            <w:gridSpan w:val="2"/>
            <w:vMerge w:val="continue"/>
            <w:tcBorders>
              <w:left w:val="single" w:color="auto" w:sz="4" w:space="0"/>
              <w:right w:val="single" w:color="auto" w:sz="4" w:space="0"/>
            </w:tcBorders>
            <w:vAlign w:val="center"/>
          </w:tcPr>
          <w:p w14:paraId="406E3238">
            <w:pPr>
              <w:jc w:val="center"/>
              <w:rPr>
                <w:rFonts w:ascii="仿宋_GB2312" w:hAnsi="Times New Roman" w:eastAsia="仿宋_GB2312" w:cs="Calibri"/>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746988E5">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充电桩（个）</w:t>
            </w:r>
          </w:p>
        </w:tc>
        <w:tc>
          <w:tcPr>
            <w:tcW w:w="1843" w:type="dxa"/>
            <w:tcBorders>
              <w:top w:val="single" w:color="auto" w:sz="4" w:space="0"/>
              <w:left w:val="single" w:color="auto" w:sz="4" w:space="0"/>
              <w:bottom w:val="single" w:color="auto" w:sz="4" w:space="0"/>
              <w:right w:val="single" w:color="auto" w:sz="4" w:space="0"/>
            </w:tcBorders>
            <w:vAlign w:val="center"/>
          </w:tcPr>
          <w:p w14:paraId="3F530747">
            <w:pPr>
              <w:jc w:val="center"/>
              <w:rPr>
                <w:rFonts w:ascii="仿宋_GB2312" w:hAnsi="Times New Roman" w:eastAsia="仿宋_GB2312" w:cs="Calibri"/>
                <w:kern w:val="0"/>
                <w:sz w:val="24"/>
                <w:szCs w:val="24"/>
              </w:rPr>
            </w:pPr>
          </w:p>
        </w:tc>
      </w:tr>
      <w:tr w14:paraId="2F0D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 w:type="dxa"/>
            <w:vMerge w:val="continue"/>
            <w:tcBorders>
              <w:left w:val="single" w:color="auto" w:sz="4" w:space="0"/>
              <w:right w:val="single" w:color="auto" w:sz="4" w:space="0"/>
            </w:tcBorders>
            <w:vAlign w:val="center"/>
          </w:tcPr>
          <w:p w14:paraId="0B2523DB">
            <w:pPr>
              <w:jc w:val="center"/>
              <w:rPr>
                <w:rFonts w:ascii="仿宋_GB2312" w:hAnsi="Times New Roman" w:eastAsia="仿宋_GB2312" w:cs="Calibri"/>
                <w:kern w:val="0"/>
                <w:sz w:val="24"/>
                <w:szCs w:val="24"/>
              </w:rPr>
            </w:pPr>
          </w:p>
        </w:tc>
        <w:tc>
          <w:tcPr>
            <w:tcW w:w="1276" w:type="dxa"/>
            <w:vMerge w:val="continue"/>
            <w:tcBorders>
              <w:left w:val="single" w:color="auto" w:sz="4" w:space="0"/>
              <w:right w:val="single" w:color="auto" w:sz="4" w:space="0"/>
            </w:tcBorders>
            <w:vAlign w:val="center"/>
          </w:tcPr>
          <w:p w14:paraId="01F63816">
            <w:pPr>
              <w:jc w:val="center"/>
              <w:rPr>
                <w:rFonts w:ascii="仿宋_GB2312" w:hAnsi="Times New Roman" w:eastAsia="仿宋_GB2312" w:cs="Calibri"/>
                <w:kern w:val="0"/>
                <w:sz w:val="24"/>
                <w:szCs w:val="24"/>
              </w:rPr>
            </w:pPr>
          </w:p>
        </w:tc>
        <w:tc>
          <w:tcPr>
            <w:tcW w:w="2552" w:type="dxa"/>
            <w:gridSpan w:val="2"/>
            <w:vMerge w:val="continue"/>
            <w:tcBorders>
              <w:left w:val="single" w:color="auto" w:sz="4" w:space="0"/>
              <w:bottom w:val="single" w:color="auto" w:sz="4" w:space="0"/>
              <w:right w:val="single" w:color="auto" w:sz="4" w:space="0"/>
            </w:tcBorders>
            <w:vAlign w:val="center"/>
          </w:tcPr>
          <w:p w14:paraId="22CE43FA">
            <w:pPr>
              <w:jc w:val="center"/>
              <w:rPr>
                <w:rFonts w:ascii="仿宋_GB2312" w:hAnsi="Times New Roman" w:eastAsia="仿宋_GB2312" w:cs="Calibri"/>
                <w:kern w:val="0"/>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1462F4DC">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设备容量（千瓦）</w:t>
            </w:r>
          </w:p>
        </w:tc>
        <w:tc>
          <w:tcPr>
            <w:tcW w:w="1843" w:type="dxa"/>
            <w:tcBorders>
              <w:top w:val="single" w:color="auto" w:sz="4" w:space="0"/>
              <w:left w:val="single" w:color="auto" w:sz="4" w:space="0"/>
              <w:bottom w:val="single" w:color="auto" w:sz="4" w:space="0"/>
              <w:right w:val="single" w:color="auto" w:sz="4" w:space="0"/>
            </w:tcBorders>
            <w:vAlign w:val="center"/>
          </w:tcPr>
          <w:p w14:paraId="0B6B8294">
            <w:pPr>
              <w:jc w:val="center"/>
              <w:rPr>
                <w:rFonts w:ascii="仿宋_GB2312" w:hAnsi="Times New Roman" w:eastAsia="仿宋_GB2312" w:cs="Calibri"/>
                <w:kern w:val="0"/>
                <w:sz w:val="24"/>
                <w:szCs w:val="24"/>
              </w:rPr>
            </w:pPr>
          </w:p>
        </w:tc>
      </w:tr>
      <w:tr w14:paraId="5925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67" w:type="dxa"/>
            <w:vMerge w:val="continue"/>
            <w:tcBorders>
              <w:left w:val="single" w:color="auto" w:sz="4" w:space="0"/>
              <w:right w:val="single" w:color="auto" w:sz="4" w:space="0"/>
            </w:tcBorders>
            <w:vAlign w:val="center"/>
          </w:tcPr>
          <w:p w14:paraId="1C45213D">
            <w:pPr>
              <w:jc w:val="center"/>
              <w:rPr>
                <w:rFonts w:ascii="仿宋_GB2312" w:hAnsi="Times New Roman" w:eastAsia="仿宋_GB2312" w:cs="Calibri"/>
                <w:kern w:val="0"/>
                <w:sz w:val="24"/>
                <w:szCs w:val="24"/>
              </w:rPr>
            </w:pPr>
          </w:p>
        </w:tc>
        <w:tc>
          <w:tcPr>
            <w:tcW w:w="1276" w:type="dxa"/>
            <w:vMerge w:val="restart"/>
            <w:tcBorders>
              <w:left w:val="single" w:color="auto" w:sz="4" w:space="0"/>
              <w:right w:val="single" w:color="auto" w:sz="4" w:space="0"/>
            </w:tcBorders>
            <w:vAlign w:val="center"/>
          </w:tcPr>
          <w:p w14:paraId="181A3CAB">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居住区有序充电推广情况</w:t>
            </w:r>
          </w:p>
        </w:tc>
        <w:tc>
          <w:tcPr>
            <w:tcW w:w="2552" w:type="dxa"/>
            <w:gridSpan w:val="2"/>
            <w:tcBorders>
              <w:left w:val="single" w:color="auto" w:sz="4" w:space="0"/>
              <w:bottom w:val="single" w:color="auto" w:sz="4" w:space="0"/>
              <w:right w:val="single" w:color="auto" w:sz="4" w:space="0"/>
            </w:tcBorders>
            <w:vAlign w:val="center"/>
          </w:tcPr>
          <w:p w14:paraId="5C18F5F7">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推广社区智能有序充电桩（个）</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41D0424E">
            <w:pPr>
              <w:jc w:val="center"/>
              <w:rPr>
                <w:rFonts w:ascii="仿宋_GB2312" w:hAnsi="Times New Roman" w:eastAsia="仿宋_GB2312" w:cs="Calibri"/>
                <w:kern w:val="0"/>
                <w:sz w:val="24"/>
                <w:szCs w:val="24"/>
              </w:rPr>
            </w:pPr>
          </w:p>
        </w:tc>
      </w:tr>
      <w:tr w14:paraId="4289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67" w:type="dxa"/>
            <w:vMerge w:val="continue"/>
            <w:tcBorders>
              <w:left w:val="single" w:color="auto" w:sz="4" w:space="0"/>
              <w:right w:val="single" w:color="auto" w:sz="4" w:space="0"/>
            </w:tcBorders>
            <w:vAlign w:val="center"/>
          </w:tcPr>
          <w:p w14:paraId="04C37157">
            <w:pPr>
              <w:jc w:val="center"/>
              <w:rPr>
                <w:rFonts w:ascii="仿宋_GB2312" w:hAnsi="Times New Roman" w:eastAsia="仿宋_GB2312" w:cs="Calibri"/>
                <w:kern w:val="0"/>
                <w:sz w:val="24"/>
                <w:szCs w:val="24"/>
              </w:rPr>
            </w:pPr>
          </w:p>
        </w:tc>
        <w:tc>
          <w:tcPr>
            <w:tcW w:w="1276" w:type="dxa"/>
            <w:vMerge w:val="continue"/>
            <w:tcBorders>
              <w:left w:val="single" w:color="auto" w:sz="4" w:space="0"/>
              <w:right w:val="single" w:color="auto" w:sz="4" w:space="0"/>
            </w:tcBorders>
            <w:vAlign w:val="center"/>
          </w:tcPr>
          <w:p w14:paraId="2549D1D4">
            <w:pPr>
              <w:jc w:val="center"/>
              <w:rPr>
                <w:rFonts w:ascii="仿宋_GB2312" w:hAnsi="Times New Roman" w:eastAsia="仿宋_GB2312" w:cs="Calibri"/>
                <w:kern w:val="0"/>
                <w:sz w:val="24"/>
                <w:szCs w:val="24"/>
              </w:rPr>
            </w:pPr>
          </w:p>
        </w:tc>
        <w:tc>
          <w:tcPr>
            <w:tcW w:w="2552" w:type="dxa"/>
            <w:gridSpan w:val="2"/>
            <w:tcBorders>
              <w:left w:val="single" w:color="auto" w:sz="4" w:space="0"/>
              <w:bottom w:val="single" w:color="auto" w:sz="4" w:space="0"/>
              <w:right w:val="single" w:color="auto" w:sz="4" w:space="0"/>
            </w:tcBorders>
            <w:vAlign w:val="center"/>
          </w:tcPr>
          <w:p w14:paraId="58CCF567">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建设智能有序充电试点社区（个）</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254D8935">
            <w:pPr>
              <w:jc w:val="center"/>
              <w:rPr>
                <w:rFonts w:ascii="仿宋_GB2312" w:hAnsi="Times New Roman" w:eastAsia="仿宋_GB2312" w:cs="Calibri"/>
                <w:kern w:val="0"/>
                <w:sz w:val="24"/>
                <w:szCs w:val="24"/>
              </w:rPr>
            </w:pPr>
          </w:p>
        </w:tc>
      </w:tr>
      <w:tr w14:paraId="3E2A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67" w:type="dxa"/>
            <w:vMerge w:val="continue"/>
            <w:tcBorders>
              <w:left w:val="single" w:color="auto" w:sz="4" w:space="0"/>
              <w:right w:val="single" w:color="auto" w:sz="4" w:space="0"/>
            </w:tcBorders>
            <w:vAlign w:val="center"/>
          </w:tcPr>
          <w:p w14:paraId="1E54ABB9">
            <w:pPr>
              <w:jc w:val="center"/>
              <w:rPr>
                <w:rFonts w:ascii="仿宋_GB2312" w:hAnsi="Times New Roman" w:eastAsia="仿宋_GB2312" w:cs="Calibri"/>
                <w:kern w:val="0"/>
                <w:sz w:val="24"/>
                <w:szCs w:val="24"/>
              </w:rPr>
            </w:pPr>
          </w:p>
        </w:tc>
        <w:tc>
          <w:tcPr>
            <w:tcW w:w="1276" w:type="dxa"/>
            <w:vMerge w:val="restart"/>
            <w:tcBorders>
              <w:left w:val="single" w:color="auto" w:sz="4" w:space="0"/>
              <w:right w:val="single" w:color="auto" w:sz="4" w:space="0"/>
            </w:tcBorders>
            <w:vAlign w:val="center"/>
          </w:tcPr>
          <w:p w14:paraId="70E9BCA6">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智能有序充换电场站试点</w:t>
            </w:r>
          </w:p>
        </w:tc>
        <w:tc>
          <w:tcPr>
            <w:tcW w:w="2552" w:type="dxa"/>
            <w:gridSpan w:val="2"/>
            <w:tcBorders>
              <w:left w:val="single" w:color="auto" w:sz="4" w:space="0"/>
              <w:bottom w:val="single" w:color="auto" w:sz="4" w:space="0"/>
              <w:right w:val="single" w:color="auto" w:sz="4" w:space="0"/>
            </w:tcBorders>
            <w:vAlign w:val="center"/>
          </w:tcPr>
          <w:p w14:paraId="7A376E63">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建设智能有序充换电试点场站规模（座）</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5B25F916">
            <w:pPr>
              <w:jc w:val="center"/>
              <w:rPr>
                <w:rFonts w:ascii="仿宋_GB2312" w:hAnsi="Times New Roman" w:eastAsia="仿宋_GB2312" w:cs="Calibri"/>
                <w:kern w:val="0"/>
                <w:sz w:val="24"/>
                <w:szCs w:val="24"/>
              </w:rPr>
            </w:pPr>
          </w:p>
        </w:tc>
      </w:tr>
      <w:tr w14:paraId="6A65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67" w:type="dxa"/>
            <w:vMerge w:val="continue"/>
            <w:tcBorders>
              <w:left w:val="single" w:color="auto" w:sz="4" w:space="0"/>
              <w:right w:val="single" w:color="auto" w:sz="4" w:space="0"/>
            </w:tcBorders>
            <w:vAlign w:val="center"/>
          </w:tcPr>
          <w:p w14:paraId="4B4516AC">
            <w:pPr>
              <w:jc w:val="center"/>
              <w:rPr>
                <w:rFonts w:ascii="仿宋_GB2312" w:hAnsi="Times New Roman" w:eastAsia="仿宋_GB2312" w:cs="Calibri"/>
                <w:kern w:val="0"/>
                <w:sz w:val="24"/>
                <w:szCs w:val="24"/>
              </w:rPr>
            </w:pPr>
          </w:p>
        </w:tc>
        <w:tc>
          <w:tcPr>
            <w:tcW w:w="1276" w:type="dxa"/>
            <w:vMerge w:val="continue"/>
            <w:tcBorders>
              <w:left w:val="single" w:color="auto" w:sz="4" w:space="0"/>
              <w:right w:val="single" w:color="auto" w:sz="4" w:space="0"/>
            </w:tcBorders>
            <w:vAlign w:val="center"/>
          </w:tcPr>
          <w:p w14:paraId="00C59B3B">
            <w:pPr>
              <w:jc w:val="center"/>
              <w:rPr>
                <w:rFonts w:ascii="仿宋_GB2312" w:hAnsi="Times New Roman" w:eastAsia="仿宋_GB2312" w:cs="Calibri"/>
                <w:kern w:val="0"/>
                <w:sz w:val="24"/>
                <w:szCs w:val="24"/>
              </w:rPr>
            </w:pPr>
          </w:p>
        </w:tc>
        <w:tc>
          <w:tcPr>
            <w:tcW w:w="2552" w:type="dxa"/>
            <w:gridSpan w:val="2"/>
            <w:tcBorders>
              <w:left w:val="single" w:color="auto" w:sz="4" w:space="0"/>
              <w:bottom w:val="single" w:color="auto" w:sz="4" w:space="0"/>
              <w:right w:val="single" w:color="auto" w:sz="4" w:space="0"/>
            </w:tcBorders>
            <w:vAlign w:val="center"/>
          </w:tcPr>
          <w:p w14:paraId="14AAA6F4">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试点场站并网容量</w:t>
            </w:r>
          </w:p>
          <w:p w14:paraId="2CCA5C82">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（千伏安）</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5023857C">
            <w:pPr>
              <w:jc w:val="center"/>
              <w:rPr>
                <w:rFonts w:ascii="仿宋_GB2312" w:hAnsi="Times New Roman" w:eastAsia="仿宋_GB2312" w:cs="Calibri"/>
                <w:kern w:val="0"/>
                <w:sz w:val="24"/>
                <w:szCs w:val="24"/>
              </w:rPr>
            </w:pPr>
          </w:p>
        </w:tc>
      </w:tr>
      <w:tr w14:paraId="4E45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67" w:type="dxa"/>
            <w:vMerge w:val="continue"/>
            <w:tcBorders>
              <w:left w:val="single" w:color="auto" w:sz="4" w:space="0"/>
              <w:right w:val="single" w:color="auto" w:sz="4" w:space="0"/>
            </w:tcBorders>
            <w:vAlign w:val="center"/>
          </w:tcPr>
          <w:p w14:paraId="752536C2">
            <w:pPr>
              <w:jc w:val="center"/>
              <w:rPr>
                <w:rFonts w:ascii="仿宋_GB2312" w:hAnsi="Times New Roman" w:eastAsia="仿宋_GB2312" w:cs="Calibri"/>
                <w:kern w:val="0"/>
                <w:sz w:val="24"/>
                <w:szCs w:val="24"/>
              </w:rPr>
            </w:pPr>
          </w:p>
        </w:tc>
        <w:tc>
          <w:tcPr>
            <w:tcW w:w="1276" w:type="dxa"/>
            <w:vMerge w:val="restart"/>
            <w:tcBorders>
              <w:left w:val="single" w:color="auto" w:sz="4" w:space="0"/>
              <w:right w:val="single" w:color="auto" w:sz="4" w:space="0"/>
            </w:tcBorders>
            <w:vAlign w:val="center"/>
          </w:tcPr>
          <w:p w14:paraId="6521AEA3">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V2G双向充放电推广情况</w:t>
            </w:r>
          </w:p>
        </w:tc>
        <w:tc>
          <w:tcPr>
            <w:tcW w:w="2552" w:type="dxa"/>
            <w:gridSpan w:val="2"/>
            <w:tcBorders>
              <w:left w:val="single" w:color="auto" w:sz="4" w:space="0"/>
              <w:bottom w:val="single" w:color="auto" w:sz="4" w:space="0"/>
              <w:right w:val="single" w:color="auto" w:sz="4" w:space="0"/>
            </w:tcBorders>
            <w:vAlign w:val="center"/>
          </w:tcPr>
          <w:p w14:paraId="55B6EDAE">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推广V2G桩（个）</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735DACBE">
            <w:pPr>
              <w:jc w:val="center"/>
              <w:rPr>
                <w:rFonts w:ascii="仿宋_GB2312" w:hAnsi="Times New Roman" w:eastAsia="仿宋_GB2312" w:cs="Calibri"/>
                <w:kern w:val="0"/>
                <w:sz w:val="24"/>
                <w:szCs w:val="24"/>
              </w:rPr>
            </w:pPr>
          </w:p>
        </w:tc>
      </w:tr>
      <w:tr w14:paraId="1282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7" w:type="dxa"/>
            <w:vMerge w:val="continue"/>
            <w:tcBorders>
              <w:left w:val="single" w:color="auto" w:sz="4" w:space="0"/>
              <w:right w:val="single" w:color="auto" w:sz="4" w:space="0"/>
            </w:tcBorders>
            <w:vAlign w:val="center"/>
          </w:tcPr>
          <w:p w14:paraId="1B4D847B">
            <w:pPr>
              <w:jc w:val="center"/>
              <w:rPr>
                <w:rFonts w:ascii="仿宋_GB2312" w:hAnsi="Times New Roman" w:eastAsia="仿宋_GB2312" w:cs="Calibri"/>
                <w:kern w:val="0"/>
                <w:sz w:val="24"/>
                <w:szCs w:val="24"/>
              </w:rPr>
            </w:pPr>
          </w:p>
        </w:tc>
        <w:tc>
          <w:tcPr>
            <w:tcW w:w="1276" w:type="dxa"/>
            <w:vMerge w:val="continue"/>
            <w:tcBorders>
              <w:left w:val="single" w:color="auto" w:sz="4" w:space="0"/>
              <w:right w:val="single" w:color="auto" w:sz="4" w:space="0"/>
            </w:tcBorders>
            <w:vAlign w:val="center"/>
          </w:tcPr>
          <w:p w14:paraId="5E45721A">
            <w:pPr>
              <w:jc w:val="center"/>
              <w:rPr>
                <w:rFonts w:ascii="仿宋_GB2312" w:hAnsi="Times New Roman" w:eastAsia="仿宋_GB2312" w:cs="Calibri"/>
                <w:kern w:val="0"/>
                <w:sz w:val="24"/>
                <w:szCs w:val="24"/>
              </w:rPr>
            </w:pPr>
          </w:p>
        </w:tc>
        <w:tc>
          <w:tcPr>
            <w:tcW w:w="2552" w:type="dxa"/>
            <w:gridSpan w:val="2"/>
            <w:tcBorders>
              <w:left w:val="single" w:color="auto" w:sz="4" w:space="0"/>
              <w:bottom w:val="single" w:color="auto" w:sz="4" w:space="0"/>
              <w:right w:val="single" w:color="auto" w:sz="4" w:space="0"/>
            </w:tcBorders>
            <w:vAlign w:val="center"/>
          </w:tcPr>
          <w:p w14:paraId="2BA36334">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推广具备反向放电功能的换电站（座）</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10D3DD30">
            <w:pPr>
              <w:jc w:val="center"/>
              <w:rPr>
                <w:rFonts w:ascii="仿宋_GB2312" w:hAnsi="Times New Roman" w:eastAsia="仿宋_GB2312" w:cs="Calibri"/>
                <w:kern w:val="0"/>
                <w:sz w:val="24"/>
                <w:szCs w:val="24"/>
              </w:rPr>
            </w:pPr>
          </w:p>
        </w:tc>
      </w:tr>
      <w:tr w14:paraId="7F7E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67" w:type="dxa"/>
            <w:vMerge w:val="continue"/>
            <w:tcBorders>
              <w:left w:val="single" w:color="auto" w:sz="4" w:space="0"/>
              <w:right w:val="single" w:color="auto" w:sz="4" w:space="0"/>
            </w:tcBorders>
            <w:vAlign w:val="center"/>
          </w:tcPr>
          <w:p w14:paraId="539505C2">
            <w:pPr>
              <w:jc w:val="center"/>
              <w:rPr>
                <w:rFonts w:ascii="仿宋_GB2312" w:hAnsi="Times New Roman" w:eastAsia="仿宋_GB2312" w:cs="Calibri"/>
                <w:kern w:val="0"/>
                <w:sz w:val="24"/>
                <w:szCs w:val="24"/>
              </w:rPr>
            </w:pPr>
          </w:p>
        </w:tc>
        <w:tc>
          <w:tcPr>
            <w:tcW w:w="1276" w:type="dxa"/>
            <w:vMerge w:val="continue"/>
            <w:tcBorders>
              <w:left w:val="single" w:color="auto" w:sz="4" w:space="0"/>
              <w:right w:val="single" w:color="auto" w:sz="4" w:space="0"/>
            </w:tcBorders>
            <w:vAlign w:val="center"/>
          </w:tcPr>
          <w:p w14:paraId="47BF5C3F">
            <w:pPr>
              <w:jc w:val="center"/>
              <w:rPr>
                <w:rFonts w:ascii="仿宋_GB2312" w:hAnsi="Times New Roman" w:eastAsia="仿宋_GB2312" w:cs="Calibri"/>
                <w:kern w:val="0"/>
                <w:sz w:val="24"/>
                <w:szCs w:val="24"/>
              </w:rPr>
            </w:pPr>
          </w:p>
        </w:tc>
        <w:tc>
          <w:tcPr>
            <w:tcW w:w="2552" w:type="dxa"/>
            <w:gridSpan w:val="2"/>
            <w:tcBorders>
              <w:left w:val="single" w:color="auto" w:sz="4" w:space="0"/>
              <w:bottom w:val="single" w:color="auto" w:sz="4" w:space="0"/>
              <w:right w:val="single" w:color="auto" w:sz="4" w:space="0"/>
            </w:tcBorders>
            <w:vAlign w:val="center"/>
          </w:tcPr>
          <w:p w14:paraId="0F3A9D92">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推广V2G车辆（辆）</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13E862DD">
            <w:pPr>
              <w:jc w:val="center"/>
              <w:rPr>
                <w:rFonts w:ascii="仿宋_GB2312" w:hAnsi="Times New Roman" w:eastAsia="仿宋_GB2312" w:cs="Calibri"/>
                <w:kern w:val="0"/>
                <w:sz w:val="24"/>
                <w:szCs w:val="24"/>
              </w:rPr>
            </w:pPr>
          </w:p>
        </w:tc>
      </w:tr>
      <w:tr w14:paraId="5DBA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67" w:type="dxa"/>
            <w:vMerge w:val="continue"/>
            <w:tcBorders>
              <w:left w:val="single" w:color="auto" w:sz="4" w:space="0"/>
              <w:right w:val="single" w:color="auto" w:sz="4" w:space="0"/>
            </w:tcBorders>
            <w:vAlign w:val="center"/>
          </w:tcPr>
          <w:p w14:paraId="3E821773">
            <w:pPr>
              <w:jc w:val="center"/>
              <w:rPr>
                <w:rFonts w:ascii="仿宋_GB2312" w:hAnsi="Times New Roman" w:eastAsia="仿宋_GB2312" w:cs="Calibri"/>
                <w:kern w:val="0"/>
                <w:sz w:val="24"/>
                <w:szCs w:val="24"/>
              </w:rPr>
            </w:pPr>
          </w:p>
        </w:tc>
        <w:tc>
          <w:tcPr>
            <w:tcW w:w="1276" w:type="dxa"/>
            <w:vMerge w:val="continue"/>
            <w:tcBorders>
              <w:left w:val="single" w:color="auto" w:sz="4" w:space="0"/>
              <w:right w:val="single" w:color="auto" w:sz="4" w:space="0"/>
            </w:tcBorders>
            <w:vAlign w:val="center"/>
          </w:tcPr>
          <w:p w14:paraId="2067FE1A">
            <w:pPr>
              <w:jc w:val="center"/>
              <w:rPr>
                <w:rFonts w:ascii="仿宋_GB2312" w:hAnsi="Times New Roman" w:eastAsia="仿宋_GB2312" w:cs="Calibri"/>
                <w:kern w:val="0"/>
                <w:sz w:val="24"/>
                <w:szCs w:val="24"/>
              </w:rPr>
            </w:pPr>
          </w:p>
        </w:tc>
        <w:tc>
          <w:tcPr>
            <w:tcW w:w="2552" w:type="dxa"/>
            <w:gridSpan w:val="2"/>
            <w:tcBorders>
              <w:left w:val="single" w:color="auto" w:sz="4" w:space="0"/>
              <w:bottom w:val="single" w:color="auto" w:sz="4" w:space="0"/>
              <w:right w:val="single" w:color="auto" w:sz="4" w:space="0"/>
            </w:tcBorders>
            <w:vAlign w:val="center"/>
          </w:tcPr>
          <w:p w14:paraId="19BF96F3">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放电功率（千瓦）</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47FE7083">
            <w:pPr>
              <w:jc w:val="center"/>
              <w:rPr>
                <w:rFonts w:ascii="仿宋_GB2312" w:hAnsi="Times New Roman" w:eastAsia="仿宋_GB2312" w:cs="Calibri"/>
                <w:kern w:val="0"/>
                <w:sz w:val="24"/>
                <w:szCs w:val="24"/>
              </w:rPr>
            </w:pPr>
          </w:p>
        </w:tc>
      </w:tr>
      <w:tr w14:paraId="6994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67" w:type="dxa"/>
            <w:vMerge w:val="continue"/>
            <w:tcBorders>
              <w:left w:val="single" w:color="auto" w:sz="4" w:space="0"/>
              <w:bottom w:val="single" w:color="auto" w:sz="4" w:space="0"/>
              <w:right w:val="single" w:color="auto" w:sz="4" w:space="0"/>
            </w:tcBorders>
            <w:vAlign w:val="center"/>
          </w:tcPr>
          <w:p w14:paraId="047D0229">
            <w:pPr>
              <w:jc w:val="center"/>
              <w:rPr>
                <w:rFonts w:ascii="仿宋_GB2312" w:hAnsi="Times New Roman" w:eastAsia="仿宋_GB2312" w:cs="Calibri"/>
                <w:kern w:val="0"/>
                <w:sz w:val="24"/>
                <w:szCs w:val="24"/>
              </w:rPr>
            </w:pPr>
          </w:p>
        </w:tc>
        <w:tc>
          <w:tcPr>
            <w:tcW w:w="1276" w:type="dxa"/>
            <w:vMerge w:val="continue"/>
            <w:tcBorders>
              <w:left w:val="single" w:color="auto" w:sz="4" w:space="0"/>
              <w:bottom w:val="single" w:color="auto" w:sz="4" w:space="0"/>
              <w:right w:val="single" w:color="auto" w:sz="4" w:space="0"/>
            </w:tcBorders>
            <w:vAlign w:val="center"/>
          </w:tcPr>
          <w:p w14:paraId="5298E242">
            <w:pPr>
              <w:jc w:val="center"/>
              <w:rPr>
                <w:rFonts w:ascii="仿宋_GB2312" w:hAnsi="Times New Roman" w:eastAsia="仿宋_GB2312" w:cs="Calibri"/>
                <w:kern w:val="0"/>
                <w:sz w:val="24"/>
                <w:szCs w:val="24"/>
              </w:rPr>
            </w:pPr>
          </w:p>
        </w:tc>
        <w:tc>
          <w:tcPr>
            <w:tcW w:w="2552" w:type="dxa"/>
            <w:gridSpan w:val="2"/>
            <w:tcBorders>
              <w:left w:val="single" w:color="auto" w:sz="4" w:space="0"/>
              <w:bottom w:val="single" w:color="auto" w:sz="4" w:space="0"/>
              <w:right w:val="single" w:color="auto" w:sz="4" w:space="0"/>
            </w:tcBorders>
            <w:vAlign w:val="center"/>
          </w:tcPr>
          <w:p w14:paraId="7EF1E64F">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放电量（千瓦时）</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5D94CF7B">
            <w:pPr>
              <w:jc w:val="center"/>
              <w:rPr>
                <w:rFonts w:ascii="仿宋_GB2312" w:hAnsi="Times New Roman" w:eastAsia="仿宋_GB2312" w:cs="Calibri"/>
                <w:kern w:val="0"/>
                <w:sz w:val="24"/>
                <w:szCs w:val="24"/>
              </w:rPr>
            </w:pPr>
          </w:p>
        </w:tc>
      </w:tr>
      <w:tr w14:paraId="3353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567" w:type="dxa"/>
            <w:vMerge w:val="restart"/>
            <w:tcBorders>
              <w:top w:val="single" w:color="auto" w:sz="4" w:space="0"/>
              <w:left w:val="single" w:color="auto" w:sz="4" w:space="0"/>
              <w:right w:val="single" w:color="auto" w:sz="4" w:space="0"/>
            </w:tcBorders>
            <w:vAlign w:val="center"/>
          </w:tcPr>
          <w:p w14:paraId="1938B3F6">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背景与基础</w:t>
            </w:r>
          </w:p>
          <w:p w14:paraId="6F8AB898">
            <w:pPr>
              <w:jc w:val="center"/>
              <w:rPr>
                <w:rFonts w:ascii="仿宋_GB2312" w:hAnsi="Times New Roman" w:eastAsia="仿宋_GB2312" w:cs="Calibri"/>
                <w:kern w:val="0"/>
                <w:sz w:val="24"/>
                <w:szCs w:val="24"/>
              </w:rPr>
            </w:pPr>
          </w:p>
        </w:tc>
        <w:tc>
          <w:tcPr>
            <w:tcW w:w="7797" w:type="dxa"/>
            <w:gridSpan w:val="5"/>
            <w:tcBorders>
              <w:top w:val="single" w:color="auto" w:sz="4" w:space="0"/>
              <w:left w:val="single" w:color="auto" w:sz="4" w:space="0"/>
              <w:bottom w:val="single" w:color="auto" w:sz="4" w:space="0"/>
              <w:right w:val="single" w:color="auto" w:sz="4" w:space="0"/>
            </w:tcBorders>
          </w:tcPr>
          <w:p w14:paraId="504E7E13">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1.试点城市区位和社会经济发展情况。</w:t>
            </w:r>
          </w:p>
          <w:p w14:paraId="2DDC2042">
            <w:pPr>
              <w:jc w:val="left"/>
              <w:rPr>
                <w:rFonts w:ascii="仿宋_GB2312" w:hAnsi="Times New Roman" w:eastAsia="仿宋_GB2312" w:cs="Calibri"/>
                <w:kern w:val="0"/>
                <w:sz w:val="24"/>
                <w:szCs w:val="24"/>
              </w:rPr>
            </w:pPr>
          </w:p>
        </w:tc>
      </w:tr>
      <w:tr w14:paraId="567F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567" w:type="dxa"/>
            <w:vMerge w:val="continue"/>
            <w:tcBorders>
              <w:left w:val="single" w:color="auto" w:sz="4" w:space="0"/>
              <w:right w:val="single" w:color="auto" w:sz="4" w:space="0"/>
            </w:tcBorders>
          </w:tcPr>
          <w:p w14:paraId="226D1816">
            <w:pPr>
              <w:jc w:val="center"/>
              <w:rPr>
                <w:rFonts w:ascii="仿宋_GB2312" w:hAnsi="Times New Roman" w:eastAsia="仿宋_GB2312" w:cs="Calibri"/>
                <w:kern w:val="0"/>
                <w:sz w:val="24"/>
                <w:szCs w:val="24"/>
              </w:rPr>
            </w:pPr>
          </w:p>
        </w:tc>
        <w:tc>
          <w:tcPr>
            <w:tcW w:w="7797" w:type="dxa"/>
            <w:gridSpan w:val="5"/>
            <w:tcBorders>
              <w:top w:val="single" w:color="auto" w:sz="4" w:space="0"/>
              <w:left w:val="single" w:color="auto" w:sz="4" w:space="0"/>
              <w:bottom w:val="single" w:color="auto" w:sz="4" w:space="0"/>
              <w:right w:val="single" w:color="auto" w:sz="4" w:space="0"/>
            </w:tcBorders>
          </w:tcPr>
          <w:p w14:paraId="143E4D0E">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2.试点城市新能源汽车与充换电基础设施发展情况。</w:t>
            </w:r>
          </w:p>
          <w:p w14:paraId="28845E1D">
            <w:pPr>
              <w:jc w:val="left"/>
              <w:rPr>
                <w:rFonts w:ascii="仿宋_GB2312" w:hAnsi="Times New Roman" w:eastAsia="仿宋_GB2312" w:cs="Calibri"/>
                <w:kern w:val="0"/>
                <w:sz w:val="24"/>
                <w:szCs w:val="24"/>
              </w:rPr>
            </w:pPr>
          </w:p>
        </w:tc>
      </w:tr>
      <w:tr w14:paraId="1536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567" w:type="dxa"/>
            <w:vMerge w:val="continue"/>
            <w:tcBorders>
              <w:left w:val="single" w:color="auto" w:sz="4" w:space="0"/>
              <w:right w:val="single" w:color="auto" w:sz="4" w:space="0"/>
            </w:tcBorders>
          </w:tcPr>
          <w:p w14:paraId="71B7F669">
            <w:pPr>
              <w:jc w:val="center"/>
              <w:rPr>
                <w:rFonts w:ascii="仿宋_GB2312" w:hAnsi="Times New Roman" w:eastAsia="仿宋_GB2312" w:cs="Calibri"/>
                <w:kern w:val="0"/>
                <w:sz w:val="24"/>
                <w:szCs w:val="24"/>
              </w:rPr>
            </w:pPr>
          </w:p>
        </w:tc>
        <w:tc>
          <w:tcPr>
            <w:tcW w:w="7797" w:type="dxa"/>
            <w:gridSpan w:val="5"/>
            <w:tcBorders>
              <w:top w:val="single" w:color="auto" w:sz="4" w:space="0"/>
              <w:left w:val="single" w:color="auto" w:sz="4" w:space="0"/>
              <w:bottom w:val="single" w:color="auto" w:sz="4" w:space="0"/>
              <w:right w:val="single" w:color="auto" w:sz="4" w:space="0"/>
            </w:tcBorders>
          </w:tcPr>
          <w:p w14:paraId="3579369F">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3.试点城市充换电设施用电价格、用电负荷以及低谷时段电量占比等特性分析。</w:t>
            </w:r>
          </w:p>
          <w:p w14:paraId="565E88E6">
            <w:pPr>
              <w:jc w:val="left"/>
              <w:rPr>
                <w:rFonts w:ascii="仿宋_GB2312" w:hAnsi="Times New Roman" w:eastAsia="仿宋_GB2312" w:cs="Calibri"/>
                <w:kern w:val="0"/>
                <w:sz w:val="24"/>
                <w:szCs w:val="24"/>
              </w:rPr>
            </w:pPr>
          </w:p>
        </w:tc>
      </w:tr>
      <w:tr w14:paraId="29DC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567" w:type="dxa"/>
            <w:vMerge w:val="continue"/>
            <w:tcBorders>
              <w:left w:val="single" w:color="auto" w:sz="4" w:space="0"/>
              <w:bottom w:val="single" w:color="auto" w:sz="4" w:space="0"/>
              <w:right w:val="single" w:color="auto" w:sz="4" w:space="0"/>
            </w:tcBorders>
          </w:tcPr>
          <w:p w14:paraId="5C7C198F">
            <w:pPr>
              <w:jc w:val="center"/>
              <w:rPr>
                <w:rFonts w:ascii="仿宋_GB2312" w:hAnsi="Times New Roman" w:eastAsia="仿宋_GB2312" w:cs="Calibri"/>
                <w:kern w:val="0"/>
                <w:sz w:val="24"/>
                <w:szCs w:val="24"/>
              </w:rPr>
            </w:pPr>
          </w:p>
        </w:tc>
        <w:tc>
          <w:tcPr>
            <w:tcW w:w="7797" w:type="dxa"/>
            <w:gridSpan w:val="5"/>
            <w:tcBorders>
              <w:top w:val="single" w:color="auto" w:sz="4" w:space="0"/>
              <w:left w:val="single" w:color="auto" w:sz="4" w:space="0"/>
              <w:bottom w:val="single" w:color="auto" w:sz="4" w:space="0"/>
              <w:right w:val="single" w:color="auto" w:sz="4" w:space="0"/>
            </w:tcBorders>
          </w:tcPr>
          <w:p w14:paraId="3714059B">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4.试点城市车网互动工作基础。</w:t>
            </w:r>
          </w:p>
          <w:p w14:paraId="3CAE9008">
            <w:pPr>
              <w:jc w:val="left"/>
              <w:rPr>
                <w:rFonts w:ascii="仿宋_GB2312" w:hAnsi="Times New Roman" w:eastAsia="仿宋_GB2312" w:cs="Calibri"/>
                <w:kern w:val="0"/>
                <w:sz w:val="24"/>
                <w:szCs w:val="24"/>
              </w:rPr>
            </w:pPr>
          </w:p>
        </w:tc>
      </w:tr>
      <w:tr w14:paraId="2D40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567" w:type="dxa"/>
            <w:tcBorders>
              <w:top w:val="single" w:color="auto" w:sz="4" w:space="0"/>
              <w:left w:val="single" w:color="auto" w:sz="4" w:space="0"/>
              <w:bottom w:val="single" w:color="auto" w:sz="4" w:space="0"/>
              <w:right w:val="single" w:color="auto" w:sz="4" w:space="0"/>
            </w:tcBorders>
          </w:tcPr>
          <w:p w14:paraId="6390BCA8">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预期目标</w:t>
            </w:r>
          </w:p>
        </w:tc>
        <w:tc>
          <w:tcPr>
            <w:tcW w:w="7797" w:type="dxa"/>
            <w:gridSpan w:val="5"/>
            <w:tcBorders>
              <w:top w:val="single" w:color="auto" w:sz="4" w:space="0"/>
              <w:left w:val="single" w:color="auto" w:sz="4" w:space="0"/>
              <w:bottom w:val="single" w:color="auto" w:sz="4" w:space="0"/>
              <w:right w:val="single" w:color="auto" w:sz="4" w:space="0"/>
            </w:tcBorders>
          </w:tcPr>
          <w:p w14:paraId="26DABC3A">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提出试点城市建设目标，明确各类典型互动场景下的试点城市的车网互动规模和预期成效、保障体系、价格和市场机制创新、配套政策和标准产出等关键指标。</w:t>
            </w:r>
          </w:p>
          <w:p w14:paraId="39E97FC9">
            <w:pPr>
              <w:jc w:val="left"/>
              <w:rPr>
                <w:rFonts w:ascii="仿宋_GB2312" w:hAnsi="Times New Roman" w:eastAsia="仿宋_GB2312" w:cs="Calibri"/>
                <w:kern w:val="0"/>
                <w:sz w:val="24"/>
                <w:szCs w:val="24"/>
              </w:rPr>
            </w:pPr>
          </w:p>
          <w:p w14:paraId="29BB377B">
            <w:pPr>
              <w:jc w:val="left"/>
              <w:rPr>
                <w:rFonts w:ascii="仿宋_GB2312" w:hAnsi="Times New Roman" w:eastAsia="仿宋_GB2312" w:cs="Calibri"/>
                <w:kern w:val="0"/>
                <w:sz w:val="24"/>
                <w:szCs w:val="24"/>
              </w:rPr>
            </w:pPr>
          </w:p>
        </w:tc>
      </w:tr>
      <w:tr w14:paraId="1620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567" w:type="dxa"/>
            <w:vMerge w:val="restart"/>
            <w:tcBorders>
              <w:top w:val="single" w:color="auto" w:sz="4" w:space="0"/>
              <w:left w:val="single" w:color="auto" w:sz="4" w:space="0"/>
              <w:right w:val="single" w:color="auto" w:sz="4" w:space="0"/>
            </w:tcBorders>
            <w:vAlign w:val="center"/>
          </w:tcPr>
          <w:p w14:paraId="1238F480">
            <w:pPr>
              <w:jc w:val="cente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建设方案</w:t>
            </w:r>
          </w:p>
          <w:p w14:paraId="28CB114C">
            <w:pPr>
              <w:jc w:val="center"/>
              <w:rPr>
                <w:rFonts w:ascii="仿宋_GB2312" w:hAnsi="Times New Roman" w:eastAsia="仿宋_GB2312" w:cs="Calibri"/>
                <w:kern w:val="0"/>
                <w:sz w:val="24"/>
                <w:szCs w:val="24"/>
              </w:rPr>
            </w:pPr>
          </w:p>
        </w:tc>
        <w:tc>
          <w:tcPr>
            <w:tcW w:w="7797" w:type="dxa"/>
            <w:gridSpan w:val="5"/>
            <w:tcBorders>
              <w:top w:val="single" w:color="auto" w:sz="4" w:space="0"/>
              <w:left w:val="single" w:color="auto" w:sz="4" w:space="0"/>
              <w:bottom w:val="single" w:color="auto" w:sz="4" w:space="0"/>
              <w:right w:val="single" w:color="auto" w:sz="4" w:space="0"/>
            </w:tcBorders>
          </w:tcPr>
          <w:p w14:paraId="46B5B020">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1.价格与需求响应机制方案。</w:t>
            </w:r>
          </w:p>
          <w:p w14:paraId="403DD129">
            <w:pPr>
              <w:jc w:val="left"/>
              <w:rPr>
                <w:rFonts w:ascii="仿宋_GB2312" w:hAnsi="Times New Roman" w:eastAsia="仿宋_GB2312" w:cs="Calibri"/>
                <w:kern w:val="0"/>
                <w:sz w:val="24"/>
                <w:szCs w:val="24"/>
              </w:rPr>
            </w:pPr>
          </w:p>
        </w:tc>
      </w:tr>
      <w:tr w14:paraId="4C38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567" w:type="dxa"/>
            <w:vMerge w:val="continue"/>
            <w:tcBorders>
              <w:left w:val="single" w:color="auto" w:sz="4" w:space="0"/>
              <w:right w:val="single" w:color="auto" w:sz="4" w:space="0"/>
            </w:tcBorders>
          </w:tcPr>
          <w:p w14:paraId="68D27B62">
            <w:pPr>
              <w:jc w:val="center"/>
              <w:rPr>
                <w:rFonts w:ascii="仿宋_GB2312" w:hAnsi="Times New Roman" w:eastAsia="仿宋_GB2312" w:cs="Calibri"/>
                <w:kern w:val="0"/>
                <w:sz w:val="24"/>
                <w:szCs w:val="24"/>
              </w:rPr>
            </w:pPr>
          </w:p>
        </w:tc>
        <w:tc>
          <w:tcPr>
            <w:tcW w:w="7797" w:type="dxa"/>
            <w:gridSpan w:val="5"/>
            <w:tcBorders>
              <w:top w:val="single" w:color="auto" w:sz="4" w:space="0"/>
              <w:left w:val="single" w:color="auto" w:sz="4" w:space="0"/>
              <w:bottom w:val="single" w:color="auto" w:sz="4" w:space="0"/>
              <w:right w:val="single" w:color="auto" w:sz="4" w:space="0"/>
            </w:tcBorders>
          </w:tcPr>
          <w:p w14:paraId="7E266F5D">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2.车网互动资源聚合参与电力市场交易方案。</w:t>
            </w:r>
          </w:p>
          <w:p w14:paraId="1F164BB5">
            <w:pPr>
              <w:jc w:val="left"/>
              <w:rPr>
                <w:rFonts w:ascii="仿宋_GB2312" w:hAnsi="Times New Roman" w:eastAsia="仿宋_GB2312" w:cs="Calibri"/>
                <w:kern w:val="0"/>
                <w:sz w:val="24"/>
                <w:szCs w:val="24"/>
              </w:rPr>
            </w:pPr>
          </w:p>
        </w:tc>
      </w:tr>
      <w:tr w14:paraId="40F1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67" w:type="dxa"/>
            <w:vMerge w:val="continue"/>
            <w:tcBorders>
              <w:left w:val="single" w:color="auto" w:sz="4" w:space="0"/>
              <w:right w:val="single" w:color="auto" w:sz="4" w:space="0"/>
            </w:tcBorders>
          </w:tcPr>
          <w:p w14:paraId="43223CB2">
            <w:pPr>
              <w:jc w:val="center"/>
              <w:rPr>
                <w:rFonts w:ascii="仿宋_GB2312" w:hAnsi="Times New Roman" w:eastAsia="仿宋_GB2312" w:cs="Calibri"/>
                <w:kern w:val="0"/>
                <w:sz w:val="24"/>
                <w:szCs w:val="24"/>
              </w:rPr>
            </w:pPr>
          </w:p>
        </w:tc>
        <w:tc>
          <w:tcPr>
            <w:tcW w:w="7797" w:type="dxa"/>
            <w:gridSpan w:val="5"/>
            <w:tcBorders>
              <w:top w:val="single" w:color="auto" w:sz="4" w:space="0"/>
              <w:left w:val="single" w:color="auto" w:sz="4" w:space="0"/>
              <w:bottom w:val="single" w:color="auto" w:sz="4" w:space="0"/>
              <w:right w:val="single" w:color="auto" w:sz="4" w:space="0"/>
            </w:tcBorders>
          </w:tcPr>
          <w:p w14:paraId="5E2CDEF6">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3.智能有序充电设施推广以及试点社区和试点场站建设方案。</w:t>
            </w:r>
          </w:p>
          <w:p w14:paraId="10AD1243">
            <w:pPr>
              <w:jc w:val="left"/>
              <w:rPr>
                <w:rFonts w:ascii="仿宋_GB2312" w:hAnsi="Times New Roman" w:eastAsia="仿宋_GB2312" w:cs="Calibri"/>
                <w:kern w:val="0"/>
                <w:sz w:val="24"/>
                <w:szCs w:val="24"/>
              </w:rPr>
            </w:pPr>
          </w:p>
        </w:tc>
      </w:tr>
      <w:tr w14:paraId="67FD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67" w:type="dxa"/>
            <w:vMerge w:val="continue"/>
            <w:tcBorders>
              <w:left w:val="single" w:color="auto" w:sz="4" w:space="0"/>
              <w:right w:val="single" w:color="auto" w:sz="4" w:space="0"/>
            </w:tcBorders>
          </w:tcPr>
          <w:p w14:paraId="139898E2">
            <w:pPr>
              <w:jc w:val="center"/>
              <w:rPr>
                <w:rFonts w:ascii="仿宋_GB2312" w:hAnsi="Times New Roman" w:eastAsia="仿宋_GB2312" w:cs="Calibri"/>
                <w:kern w:val="0"/>
                <w:sz w:val="24"/>
                <w:szCs w:val="24"/>
              </w:rPr>
            </w:pPr>
          </w:p>
        </w:tc>
        <w:tc>
          <w:tcPr>
            <w:tcW w:w="7797" w:type="dxa"/>
            <w:gridSpan w:val="5"/>
            <w:tcBorders>
              <w:top w:val="single" w:color="auto" w:sz="4" w:space="0"/>
              <w:left w:val="single" w:color="auto" w:sz="4" w:space="0"/>
              <w:bottom w:val="single" w:color="auto" w:sz="4" w:space="0"/>
              <w:right w:val="single" w:color="auto" w:sz="4" w:space="0"/>
            </w:tcBorders>
          </w:tcPr>
          <w:p w14:paraId="31E4B4CA">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4.V2G技术与模式协同创新方案。</w:t>
            </w:r>
          </w:p>
          <w:p w14:paraId="0D2C943D">
            <w:pPr>
              <w:jc w:val="left"/>
              <w:rPr>
                <w:rFonts w:ascii="仿宋_GB2312" w:hAnsi="Times New Roman" w:eastAsia="仿宋_GB2312" w:cs="Calibri"/>
                <w:kern w:val="0"/>
                <w:sz w:val="24"/>
                <w:szCs w:val="24"/>
              </w:rPr>
            </w:pPr>
          </w:p>
        </w:tc>
      </w:tr>
      <w:tr w14:paraId="5D68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567" w:type="dxa"/>
            <w:vMerge w:val="continue"/>
            <w:tcBorders>
              <w:left w:val="single" w:color="auto" w:sz="4" w:space="0"/>
              <w:bottom w:val="single" w:color="auto" w:sz="4" w:space="0"/>
              <w:right w:val="single" w:color="auto" w:sz="4" w:space="0"/>
            </w:tcBorders>
          </w:tcPr>
          <w:p w14:paraId="781D8F9A">
            <w:pPr>
              <w:jc w:val="center"/>
              <w:rPr>
                <w:rFonts w:ascii="仿宋_GB2312" w:hAnsi="Times New Roman" w:eastAsia="仿宋_GB2312" w:cs="Calibri"/>
                <w:kern w:val="0"/>
                <w:sz w:val="24"/>
                <w:szCs w:val="24"/>
              </w:rPr>
            </w:pPr>
          </w:p>
        </w:tc>
        <w:tc>
          <w:tcPr>
            <w:tcW w:w="7797" w:type="dxa"/>
            <w:gridSpan w:val="5"/>
            <w:tcBorders>
              <w:top w:val="single" w:color="auto" w:sz="4" w:space="0"/>
              <w:left w:val="single" w:color="auto" w:sz="4" w:space="0"/>
              <w:bottom w:val="single" w:color="auto" w:sz="4" w:space="0"/>
              <w:right w:val="single" w:color="auto" w:sz="4" w:space="0"/>
            </w:tcBorders>
          </w:tcPr>
          <w:p w14:paraId="1336E9AA">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5.政府监管和电网企业平台支撑和项目动态评估方案。</w:t>
            </w:r>
          </w:p>
          <w:p w14:paraId="702E6C5E">
            <w:pPr>
              <w:jc w:val="left"/>
              <w:rPr>
                <w:rFonts w:ascii="仿宋_GB2312" w:hAnsi="Times New Roman" w:eastAsia="仿宋_GB2312" w:cs="Calibri"/>
                <w:kern w:val="0"/>
                <w:sz w:val="24"/>
                <w:szCs w:val="24"/>
              </w:rPr>
            </w:pPr>
          </w:p>
        </w:tc>
      </w:tr>
      <w:tr w14:paraId="4E07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567" w:type="dxa"/>
            <w:tcBorders>
              <w:top w:val="single" w:color="auto" w:sz="4" w:space="0"/>
              <w:left w:val="single" w:color="auto" w:sz="4" w:space="0"/>
              <w:bottom w:val="single" w:color="auto" w:sz="4" w:space="0"/>
              <w:right w:val="single" w:color="auto" w:sz="4" w:space="0"/>
            </w:tcBorders>
            <w:vAlign w:val="center"/>
          </w:tcPr>
          <w:p w14:paraId="04217CEE">
            <w:pPr>
              <w:jc w:val="center"/>
              <w:rPr>
                <w:rFonts w:ascii="仿宋_GB2312" w:hAnsi="Times New Roman" w:eastAsia="仿宋_GB2312" w:cs="Calibri"/>
                <w:kern w:val="0"/>
                <w:sz w:val="24"/>
                <w:szCs w:val="24"/>
              </w:rPr>
            </w:pPr>
            <w:bookmarkStart w:id="1" w:name="_Hlk157440902"/>
            <w:r>
              <w:rPr>
                <w:rFonts w:hint="eastAsia" w:ascii="仿宋_GB2312" w:hAnsi="Times New Roman" w:eastAsia="仿宋_GB2312" w:cs="Calibri"/>
                <w:kern w:val="0"/>
                <w:sz w:val="24"/>
                <w:szCs w:val="24"/>
              </w:rPr>
              <w:t>保障</w:t>
            </w:r>
            <w:bookmarkEnd w:id="1"/>
            <w:r>
              <w:rPr>
                <w:rFonts w:hint="eastAsia" w:ascii="仿宋_GB2312" w:hAnsi="Times New Roman" w:eastAsia="仿宋_GB2312" w:cs="Calibri"/>
                <w:kern w:val="0"/>
                <w:sz w:val="24"/>
                <w:szCs w:val="24"/>
              </w:rPr>
              <w:t>措施</w:t>
            </w:r>
          </w:p>
        </w:tc>
        <w:tc>
          <w:tcPr>
            <w:tcW w:w="7797" w:type="dxa"/>
            <w:gridSpan w:val="5"/>
            <w:tcBorders>
              <w:top w:val="single" w:color="auto" w:sz="4" w:space="0"/>
              <w:left w:val="single" w:color="auto" w:sz="4" w:space="0"/>
              <w:bottom w:val="single" w:color="auto" w:sz="4" w:space="0"/>
              <w:right w:val="single" w:color="auto" w:sz="4" w:space="0"/>
            </w:tcBorders>
          </w:tcPr>
          <w:p w14:paraId="431F4DA9">
            <w:pPr>
              <w:jc w:val="left"/>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从加强统筹协调、加大政策支持、压实主体责任、加强过程监督、加强宣传引导等方面提出保障措施。</w:t>
            </w:r>
          </w:p>
        </w:tc>
      </w:tr>
      <w:tr w14:paraId="5ED7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8364" w:type="dxa"/>
            <w:gridSpan w:val="6"/>
            <w:tcBorders>
              <w:top w:val="single" w:color="auto" w:sz="4" w:space="0"/>
              <w:left w:val="single" w:color="auto" w:sz="4" w:space="0"/>
              <w:bottom w:val="single" w:color="auto" w:sz="4" w:space="0"/>
              <w:right w:val="single" w:color="auto" w:sz="4" w:space="0"/>
            </w:tcBorders>
          </w:tcPr>
          <w:p w14:paraId="57BF8C47">
            <w:pPr>
              <w:ind w:firstLine="482" w:firstLineChars="200"/>
              <w:jc w:val="left"/>
              <w:rPr>
                <w:rFonts w:ascii="仿宋_GB2312" w:hAnsi="Calibri" w:eastAsia="仿宋_GB2312" w:cs="宋体"/>
                <w:b/>
                <w:bCs/>
                <w:kern w:val="0"/>
                <w:sz w:val="24"/>
                <w:szCs w:val="24"/>
              </w:rPr>
            </w:pPr>
          </w:p>
          <w:p w14:paraId="79BD1020">
            <w:pPr>
              <w:ind w:firstLine="482" w:firstLineChars="200"/>
              <w:jc w:val="left"/>
              <w:rPr>
                <w:rFonts w:ascii="仿宋_GB2312" w:hAnsi="Calibri" w:eastAsia="仿宋_GB2312" w:cs="宋体"/>
                <w:b/>
                <w:bCs/>
                <w:kern w:val="0"/>
                <w:sz w:val="24"/>
                <w:szCs w:val="24"/>
              </w:rPr>
            </w:pPr>
          </w:p>
          <w:p w14:paraId="08C5A485">
            <w:pPr>
              <w:ind w:firstLine="480" w:firstLineChars="200"/>
              <w:jc w:val="left"/>
              <w:rPr>
                <w:rFonts w:ascii="仿宋_GB2312" w:hAnsi="Calibri" w:eastAsia="仿宋_GB2312" w:cs="宋体"/>
                <w:kern w:val="0"/>
                <w:sz w:val="24"/>
                <w:szCs w:val="24"/>
              </w:rPr>
            </w:pPr>
          </w:p>
          <w:p w14:paraId="75A5AB19">
            <w:pPr>
              <w:wordWrap w:val="0"/>
              <w:ind w:firstLine="480" w:firstLineChars="200"/>
              <w:jc w:val="right"/>
              <w:rPr>
                <w:rFonts w:ascii="仿宋_GB2312" w:hAnsi="Calibri" w:eastAsia="仿宋_GB2312" w:cs="宋体"/>
                <w:kern w:val="0"/>
                <w:sz w:val="24"/>
                <w:szCs w:val="24"/>
              </w:rPr>
            </w:pPr>
            <w:r>
              <w:rPr>
                <w:rFonts w:hint="eastAsia" w:ascii="仿宋_GB2312" w:hAnsi="Calibri" w:eastAsia="仿宋_GB2312" w:cs="宋体"/>
                <w:kern w:val="0"/>
                <w:sz w:val="24"/>
                <w:szCs w:val="24"/>
              </w:rPr>
              <w:t xml:space="preserve">申报城市主管部门（盖章）：                </w:t>
            </w:r>
          </w:p>
          <w:p w14:paraId="11C06058">
            <w:pPr>
              <w:ind w:firstLine="480" w:firstLineChars="200"/>
              <w:jc w:val="left"/>
              <w:rPr>
                <w:rFonts w:ascii="仿宋_GB2312" w:hAnsi="Calibri" w:eastAsia="仿宋_GB2312" w:cs="宋体"/>
                <w:kern w:val="0"/>
                <w:sz w:val="24"/>
                <w:szCs w:val="24"/>
              </w:rPr>
            </w:pPr>
          </w:p>
          <w:p w14:paraId="1F70BB2E">
            <w:pPr>
              <w:jc w:val="left"/>
              <w:rPr>
                <w:rFonts w:ascii="仿宋_GB2312" w:hAnsi="Calibri" w:eastAsia="仿宋_GB2312" w:cs="Calibri"/>
                <w:kern w:val="0"/>
                <w:sz w:val="24"/>
                <w:szCs w:val="24"/>
              </w:rPr>
            </w:pPr>
          </w:p>
          <w:p w14:paraId="698BB90D">
            <w:pPr>
              <w:wordWrap w:val="0"/>
              <w:jc w:val="right"/>
              <w:rPr>
                <w:rFonts w:ascii="仿宋_GB2312" w:hAnsi="Times New Roman" w:eastAsia="仿宋_GB2312" w:cs="Calibri"/>
                <w:kern w:val="0"/>
                <w:sz w:val="24"/>
                <w:szCs w:val="24"/>
              </w:rPr>
            </w:pPr>
            <w:r>
              <w:rPr>
                <w:rFonts w:hint="eastAsia" w:ascii="仿宋_GB2312" w:hAnsi="Calibri" w:eastAsia="仿宋_GB2312" w:cs="宋体"/>
                <w:kern w:val="0"/>
                <w:sz w:val="24"/>
                <w:szCs w:val="24"/>
              </w:rPr>
              <w:t>年      月     日</w:t>
            </w:r>
          </w:p>
        </w:tc>
      </w:tr>
      <w:tr w14:paraId="0D62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941" w:type="dxa"/>
            <w:gridSpan w:val="3"/>
            <w:tcBorders>
              <w:top w:val="single" w:color="auto" w:sz="4" w:space="0"/>
              <w:left w:val="single" w:color="auto" w:sz="4" w:space="0"/>
              <w:bottom w:val="single" w:color="auto" w:sz="4" w:space="0"/>
              <w:right w:val="single" w:color="auto" w:sz="4" w:space="0"/>
            </w:tcBorders>
            <w:vAlign w:val="center"/>
          </w:tcPr>
          <w:p w14:paraId="5F928CDE">
            <w:pP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联系人：</w:t>
            </w:r>
          </w:p>
        </w:tc>
        <w:tc>
          <w:tcPr>
            <w:tcW w:w="4423" w:type="dxa"/>
            <w:gridSpan w:val="3"/>
            <w:tcBorders>
              <w:top w:val="single" w:color="auto" w:sz="4" w:space="0"/>
              <w:left w:val="single" w:color="auto" w:sz="4" w:space="0"/>
              <w:bottom w:val="single" w:color="auto" w:sz="4" w:space="0"/>
              <w:right w:val="single" w:color="auto" w:sz="4" w:space="0"/>
            </w:tcBorders>
            <w:vAlign w:val="center"/>
          </w:tcPr>
          <w:p w14:paraId="1C840C8E">
            <w:pPr>
              <w:rPr>
                <w:rFonts w:ascii="仿宋_GB2312" w:hAnsi="Times New Roman" w:eastAsia="仿宋_GB2312" w:cs="Calibri"/>
                <w:kern w:val="0"/>
                <w:sz w:val="24"/>
                <w:szCs w:val="24"/>
              </w:rPr>
            </w:pPr>
            <w:r>
              <w:rPr>
                <w:rFonts w:hint="eastAsia" w:ascii="仿宋_GB2312" w:hAnsi="Times New Roman" w:eastAsia="仿宋_GB2312" w:cs="Calibri"/>
                <w:kern w:val="0"/>
                <w:sz w:val="24"/>
                <w:szCs w:val="24"/>
              </w:rPr>
              <w:t>联系电话：</w:t>
            </w:r>
          </w:p>
        </w:tc>
      </w:tr>
    </w:tbl>
    <w:p w14:paraId="12AC3700"/>
    <w:p w14:paraId="278D4703">
      <w:pPr>
        <w:widowControl/>
        <w:jc w:val="left"/>
      </w:pPr>
      <w:r>
        <w:br w:type="page"/>
      </w:r>
    </w:p>
    <w:p w14:paraId="624FCEBD">
      <w:pPr>
        <w:spacing w:afterLines="50"/>
        <w:jc w:val="left"/>
        <w:rPr>
          <w:rFonts w:ascii="黑体" w:hAnsi="Times New Roman" w:eastAsia="黑体" w:cs="Calibri"/>
          <w:kern w:val="0"/>
          <w:sz w:val="32"/>
          <w:szCs w:val="24"/>
        </w:rPr>
      </w:pPr>
      <w:r>
        <w:rPr>
          <w:rFonts w:hint="eastAsia" w:ascii="黑体" w:hAnsi="Times New Roman" w:eastAsia="黑体" w:cs="Calibri"/>
          <w:kern w:val="0"/>
          <w:sz w:val="32"/>
          <w:szCs w:val="24"/>
        </w:rPr>
        <w:t>填报说明</w:t>
      </w:r>
    </w:p>
    <w:p w14:paraId="5CF87450">
      <w:pPr>
        <w:snapToGrid w:val="0"/>
        <w:spacing w:line="360" w:lineRule="auto"/>
        <w:rPr>
          <w:rFonts w:ascii="仿宋_GB2312" w:hAnsi="Calibri" w:eastAsia="仿宋_GB2312" w:cs="宋体"/>
          <w:kern w:val="0"/>
          <w:sz w:val="24"/>
          <w:szCs w:val="24"/>
        </w:rPr>
      </w:pPr>
      <w:bookmarkStart w:id="2" w:name="_Hlk159444385"/>
      <w:r>
        <w:rPr>
          <w:rFonts w:hint="eastAsia" w:ascii="仿宋_GB2312" w:hAnsi="Calibri" w:eastAsia="仿宋_GB2312" w:cs="宋体"/>
          <w:kern w:val="0"/>
          <w:sz w:val="24"/>
          <w:szCs w:val="24"/>
        </w:rPr>
        <w:t>1. 新能源汽车与充换电设施发展基础</w:t>
      </w:r>
    </w:p>
    <w:bookmarkEnd w:id="2"/>
    <w:p w14:paraId="5247D2FC">
      <w:pPr>
        <w:snapToGrid w:val="0"/>
        <w:spacing w:line="360" w:lineRule="auto"/>
        <w:ind w:left="567" w:hanging="567"/>
        <w:rPr>
          <w:rFonts w:ascii="仿宋_GB2312" w:hAnsi="Calibri" w:eastAsia="仿宋_GB2312" w:cs="宋体"/>
          <w:kern w:val="0"/>
          <w:sz w:val="24"/>
          <w:szCs w:val="24"/>
        </w:rPr>
      </w:pPr>
      <w:r>
        <w:rPr>
          <w:rFonts w:hint="eastAsia" w:ascii="仿宋_GB2312" w:hAnsi="Calibri" w:eastAsia="仿宋_GB2312" w:cs="宋体"/>
          <w:kern w:val="0"/>
          <w:sz w:val="24"/>
          <w:szCs w:val="24"/>
        </w:rPr>
        <w:t>（1）新能源汽车和充换电设施数量统计截止于2023年12月，车辆市场渗透率以2023年全年数据进行计算。</w:t>
      </w:r>
    </w:p>
    <w:p w14:paraId="55DC1E79">
      <w:pPr>
        <w:snapToGrid w:val="0"/>
        <w:spacing w:line="360" w:lineRule="auto"/>
        <w:ind w:left="567" w:hanging="567"/>
        <w:rPr>
          <w:rFonts w:ascii="仿宋_GB2312" w:hAnsi="Calibri" w:eastAsia="仿宋_GB2312" w:cs="宋体"/>
          <w:kern w:val="0"/>
          <w:sz w:val="24"/>
          <w:szCs w:val="24"/>
        </w:rPr>
      </w:pPr>
      <w:r>
        <w:rPr>
          <w:rFonts w:hint="eastAsia" w:ascii="仿宋_GB2312" w:hAnsi="Calibri" w:eastAsia="仿宋_GB2312" w:cs="宋体"/>
          <w:kern w:val="0"/>
          <w:sz w:val="24"/>
          <w:szCs w:val="24"/>
        </w:rPr>
        <w:t>（2）全年充电量低谷时段占比和私人桩全年充电量低谷时段占比均以2023年全年数据进行统计；其中公共和专用充换电设施的充电量统计以政府监管平台接入数据作为依据，私人充电桩的充电量统计以电网企业私人充电桩报装计量数据作为依据。</w:t>
      </w:r>
    </w:p>
    <w:p w14:paraId="35BAB1AB">
      <w:pPr>
        <w:snapToGrid w:val="0"/>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2. 试点城市建设目标</w:t>
      </w:r>
    </w:p>
    <w:p w14:paraId="7EE39FE7">
      <w:pPr>
        <w:snapToGrid w:val="0"/>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（1）数据填写截止时间以</w:t>
      </w:r>
      <w:bookmarkStart w:id="3" w:name="_Hlk159444605"/>
      <w:r>
        <w:rPr>
          <w:rFonts w:hint="eastAsia" w:ascii="仿宋_GB2312" w:hAnsi="Calibri" w:eastAsia="仿宋_GB2312" w:cs="宋体"/>
          <w:kern w:val="0"/>
          <w:sz w:val="24"/>
          <w:szCs w:val="24"/>
        </w:rPr>
        <w:t>2025年底</w:t>
      </w:r>
      <w:bookmarkEnd w:id="3"/>
      <w:r>
        <w:rPr>
          <w:rFonts w:hint="eastAsia" w:ascii="仿宋_GB2312" w:hAnsi="Calibri" w:eastAsia="仿宋_GB2312" w:cs="宋体"/>
          <w:kern w:val="0"/>
          <w:sz w:val="24"/>
          <w:szCs w:val="24"/>
        </w:rPr>
        <w:t>为准。</w:t>
      </w:r>
    </w:p>
    <w:p w14:paraId="55F7ECFC">
      <w:pPr>
        <w:snapToGrid w:val="0"/>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（2）关于接入政府监管平台的智能有序充换电设施规模的相关说明</w:t>
      </w:r>
    </w:p>
    <w:p w14:paraId="46C3F64C">
      <w:pPr>
        <w:snapToGrid w:val="0"/>
        <w:spacing w:line="360" w:lineRule="auto"/>
        <w:ind w:left="567"/>
        <w:rPr>
          <w:rFonts w:ascii="仿宋_GB2312" w:hAnsi="Calibri" w:eastAsia="仿宋_GB2312" w:cs="宋体"/>
          <w:kern w:val="0"/>
          <w:sz w:val="24"/>
          <w:szCs w:val="24"/>
        </w:rPr>
      </w:pPr>
      <w:r>
        <w:rPr>
          <w:rFonts w:hint="eastAsia" w:ascii="仿宋_GB2312" w:hAnsi="Calibri" w:eastAsia="仿宋_GB2312" w:cs="宋体"/>
          <w:kern w:val="0"/>
          <w:sz w:val="24"/>
          <w:szCs w:val="24"/>
        </w:rPr>
        <w:t>填写接入政府监管平台的智能有序充电站、智能有序充电桩、智能有序换电站的建设数量目标。智能有序充电站，指的是充电场站具备远程通信控制能力，能够通过系统平台实现整站和站内充电桩的分钟级远程调控。智能有序充电桩，指的是智能有序充电站内的充电桩以及直接接受平台系统远程调控的分散式充电桩。智能有序换电站，指的是换电场站具备远程通信控制能力，能够通过系统平台实现整站的分钟级远程调控。</w:t>
      </w:r>
    </w:p>
    <w:p w14:paraId="59D6817B">
      <w:pPr>
        <w:snapToGrid w:val="0"/>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（3）关于居住区有序充电推广情况的相关说明</w:t>
      </w:r>
    </w:p>
    <w:p w14:paraId="3BBAB72D">
      <w:pPr>
        <w:snapToGrid w:val="0"/>
        <w:spacing w:line="360" w:lineRule="auto"/>
        <w:ind w:left="567"/>
        <w:rPr>
          <w:rFonts w:ascii="仿宋_GB2312" w:hAnsi="Calibri" w:eastAsia="仿宋_GB2312" w:cs="宋体"/>
          <w:kern w:val="0"/>
          <w:sz w:val="24"/>
          <w:szCs w:val="24"/>
        </w:rPr>
      </w:pPr>
      <w:r>
        <w:rPr>
          <w:rFonts w:hint="eastAsia" w:ascii="仿宋_GB2312" w:hAnsi="Calibri" w:eastAsia="仿宋_GB2312" w:cs="宋体"/>
          <w:kern w:val="0"/>
          <w:sz w:val="24"/>
          <w:szCs w:val="24"/>
        </w:rPr>
        <w:t>推广社区智能有序充电桩目标是指在社区场景内预期推广的智能充电桩数量。在此基础上进一步开展智能有序试点社区建设，智能有序试点社区是指建立了完整的智能有序充电管理体系，所有新增个人桩都是智能桩，且个人智能桩能够根据电网企业、社区统建统营运营商或第三方平台指令调整充电时间和功率，在确保电网安全可控前提下有效提升社区充电桩的接入能力，实现“应接尽接”。</w:t>
      </w:r>
    </w:p>
    <w:p w14:paraId="62C6B3E7">
      <w:pPr>
        <w:snapToGrid w:val="0"/>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（4）关于智能有序充换电场站试点的相关说明</w:t>
      </w:r>
    </w:p>
    <w:p w14:paraId="09A36F52">
      <w:pPr>
        <w:snapToGrid w:val="0"/>
        <w:spacing w:line="360" w:lineRule="auto"/>
        <w:ind w:left="567"/>
        <w:rPr>
          <w:rFonts w:ascii="仿宋_GB2312" w:hAnsi="Calibri" w:eastAsia="仿宋_GB2312" w:cs="宋体"/>
          <w:kern w:val="0"/>
          <w:sz w:val="24"/>
          <w:szCs w:val="24"/>
        </w:rPr>
      </w:pPr>
      <w:r>
        <w:rPr>
          <w:rFonts w:hint="eastAsia" w:ascii="仿宋_GB2312" w:hAnsi="Calibri" w:eastAsia="仿宋_GB2312" w:cs="宋体"/>
          <w:kern w:val="0"/>
          <w:sz w:val="24"/>
          <w:szCs w:val="24"/>
        </w:rPr>
        <w:t>提出智能有序充换电试点场站建设规模目标。其中智能有序充换电试点场站指具备电网互动能力的充换电场站，通过与电网签订智能有序充电协议和引入相应控制保护技术措施，在电网高峰时段或所接入线路/台区用电紧张时段根据电网调控指令调整充电功率。对于智能有序充换电试点场站，试点可根据所接入配电网低谷时段容量裕度合理提高准许报装变压器容量，提升电网低谷时段充换电场站服务能力与配电网资产利用效率。</w:t>
      </w:r>
    </w:p>
    <w:p w14:paraId="7814CFA5">
      <w:pPr>
        <w:snapToGrid w:val="0"/>
        <w:spacing w:line="360" w:lineRule="auto"/>
        <w:rPr>
          <w:rFonts w:ascii="仿宋_GB2312" w:hAnsi="Calibri" w:eastAsia="仿宋_GB2312" w:cs="宋体"/>
          <w:kern w:val="0"/>
          <w:sz w:val="24"/>
          <w:szCs w:val="24"/>
        </w:rPr>
      </w:pPr>
      <w:r>
        <w:rPr>
          <w:rFonts w:hint="eastAsia" w:ascii="仿宋_GB2312" w:hAnsi="Calibri" w:eastAsia="仿宋_GB2312" w:cs="宋体"/>
          <w:kern w:val="0"/>
          <w:sz w:val="24"/>
          <w:szCs w:val="24"/>
        </w:rPr>
        <w:t>（5）关于V2G双向充放电推广情况的相关说明</w:t>
      </w:r>
    </w:p>
    <w:p w14:paraId="74BB1B39">
      <w:pPr>
        <w:snapToGrid w:val="0"/>
        <w:spacing w:line="360" w:lineRule="auto"/>
        <w:ind w:left="567"/>
        <w:rPr>
          <w:rFonts w:ascii="仿宋_GB2312" w:hAnsi="Calibri" w:eastAsia="仿宋_GB2312" w:cs="宋体"/>
          <w:kern w:val="0"/>
          <w:sz w:val="24"/>
          <w:szCs w:val="24"/>
        </w:rPr>
      </w:pPr>
      <w:r>
        <w:rPr>
          <w:rFonts w:hint="eastAsia" w:ascii="仿宋_GB2312" w:hAnsi="Calibri" w:eastAsia="仿宋_GB2312" w:cs="宋体"/>
          <w:kern w:val="0"/>
          <w:sz w:val="24"/>
          <w:szCs w:val="24"/>
        </w:rPr>
        <w:t>具备反向放电功能的换电站是指配备了部分或全部双向充放电装置的换电站，可实现站内的部分或全部动力电池对供电网络反向放电的换电站。放电功率是指推广的V2G桩以及具备反向放电功能的换电站在试点运行期间反向放电的最大功率。放电量是指2025年试点运行期间的全年放电量总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YxZmI1OGU4MmViOGNiZWYzZWM5YjIxMDU0NWUxOTgifQ=="/>
  </w:docVars>
  <w:rsids>
    <w:rsidRoot w:val="00C33A0D"/>
    <w:rsid w:val="00061123"/>
    <w:rsid w:val="00193DC7"/>
    <w:rsid w:val="00340463"/>
    <w:rsid w:val="005456D9"/>
    <w:rsid w:val="005E49DA"/>
    <w:rsid w:val="006461C9"/>
    <w:rsid w:val="006C2A22"/>
    <w:rsid w:val="00883134"/>
    <w:rsid w:val="008D111B"/>
    <w:rsid w:val="008D5EDC"/>
    <w:rsid w:val="009100DA"/>
    <w:rsid w:val="009D2BDA"/>
    <w:rsid w:val="00B14456"/>
    <w:rsid w:val="00BB016B"/>
    <w:rsid w:val="00C33A0D"/>
    <w:rsid w:val="00C4604D"/>
    <w:rsid w:val="00CD31EF"/>
    <w:rsid w:val="00F90FAD"/>
    <w:rsid w:val="00FA4FF7"/>
    <w:rsid w:val="0419005E"/>
    <w:rsid w:val="469C6783"/>
    <w:rsid w:val="4C912C37"/>
    <w:rsid w:val="580E14B2"/>
    <w:rsid w:val="606F44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1747</Words>
  <Characters>1787</Characters>
  <Lines>14</Lines>
  <Paragraphs>4</Paragraphs>
  <TotalTime>12</TotalTime>
  <ScaleCrop>false</ScaleCrop>
  <LinksUpToDate>false</LinksUpToDate>
  <CharactersWithSpaces>1816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2024-03-19T09:32:00Z</dcterms:created>
  <dc:creator>admin</dc:creator>
  <cp:lastModifiedBy>王亮</cp:lastModifiedBy>
  <cp:lastPrinted>2024-04-15T08:55:00Z</cp:lastPrinted>
  <dcterms:modified xsi:type="dcterms:W3CDTF">2024-09-10T02:19:31Z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F10560FA4AAD4901B3C1513655665CF9_12</vt:lpwstr>
  </property>
</Properties>
</file>